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19"/>
        <w:rPr>
          <w:rFonts w:ascii="Liberation Serif" w:hAnsi="Liberation Serif"/>
        </w:rPr>
      </w:pPr>
      <w:r>
        <w:rPr>
          <w:rFonts w:ascii="Liberation Serif" w:hAnsi="Liberation Serif"/>
        </w:rPr>
      </w:r>
      <w:bookmarkStart w:id="0" w:name="_GoBack"/>
      <w:bookmarkStart w:id="1" w:name="_GoBack"/>
      <w:bookmarkEnd w:id="1"/>
    </w:p>
    <w:tbl>
      <w:tblPr>
        <w:tblW w:w="10713" w:type="dxa"/>
        <w:jc w:val="left"/>
        <w:tblInd w:w="-217" w:type="dxa"/>
        <w:tblLayout w:type="fixed"/>
        <w:tblCellMar>
          <w:top w:w="0" w:type="dxa"/>
          <w:left w:w="108" w:type="dxa"/>
          <w:bottom w:w="0" w:type="dxa"/>
          <w:right w:w="108" w:type="dxa"/>
        </w:tblCellMar>
      </w:tblPr>
      <w:tblGrid>
        <w:gridCol w:w="5655"/>
        <w:gridCol w:w="5057"/>
      </w:tblGrid>
      <w:tr>
        <w:trPr/>
        <w:tc>
          <w:tcPr>
            <w:tcW w:w="5655" w:type="dxa"/>
            <w:tcBorders/>
          </w:tcPr>
          <w:p>
            <w:pPr>
              <w:pStyle w:val="Normal"/>
              <w:widowControl w:val="false"/>
              <w:tabs>
                <w:tab w:val="clear" w:pos="709"/>
                <w:tab w:val="left" w:pos="6496" w:leader="none"/>
              </w:tabs>
              <w:spacing w:before="0" w:after="0"/>
              <w:rPr>
                <w:rFonts w:ascii="Liberation Serif" w:hAnsi="Liberation Serif"/>
              </w:rPr>
            </w:pPr>
            <w:r>
              <w:rPr>
                <w:rFonts w:ascii="Liberation Serif" w:hAnsi="Liberation Serif"/>
              </w:rPr>
            </w:r>
          </w:p>
        </w:tc>
        <w:tc>
          <w:tcPr>
            <w:tcW w:w="5057" w:type="dxa"/>
            <w:tcBorders/>
            <w:shd w:fill="FFFFFF" w:val="clear"/>
          </w:tcPr>
          <w:p>
            <w:pPr>
              <w:pStyle w:val="Standard"/>
              <w:widowControl w:val="false"/>
              <w:tabs>
                <w:tab w:val="clear" w:pos="709"/>
                <w:tab w:val="left" w:pos="1438" w:leader="none"/>
              </w:tabs>
              <w:spacing w:before="0" w:after="0"/>
              <w:jc w:val="right"/>
              <w:rPr>
                <w:rFonts w:ascii="Liberation Serif" w:hAnsi="Liberation Serif"/>
              </w:rPr>
            </w:pPr>
            <w:r>
              <w:rPr>
                <w:rFonts w:ascii="Liberation Serif" w:hAnsi="Liberation Serif"/>
              </w:rPr>
            </w:r>
          </w:p>
        </w:tc>
      </w:tr>
    </w:tbl>
    <w:p>
      <w:pPr>
        <w:pStyle w:val="Standard"/>
        <w:spacing w:lineRule="auto" w:line="276"/>
        <w:jc w:val="center"/>
        <w:rPr>
          <w:sz w:val="26"/>
          <w:szCs w:val="26"/>
        </w:rPr>
      </w:pPr>
      <w:r>
        <w:rPr>
          <w:rFonts w:cs="Liberation Serif" w:ascii="Liberation Serif" w:hAnsi="Liberation Serif"/>
          <w:b/>
          <w:sz w:val="26"/>
          <w:szCs w:val="26"/>
        </w:rPr>
        <w:t>Задание на проектирование</w:t>
      </w:r>
    </w:p>
    <w:p>
      <w:pPr>
        <w:pStyle w:val="Standard"/>
        <w:spacing w:before="0" w:after="0"/>
        <w:ind w:left="0" w:right="0" w:firstLine="851"/>
        <w:jc w:val="center"/>
        <w:rPr>
          <w:sz w:val="26"/>
          <w:szCs w:val="26"/>
        </w:rPr>
      </w:pPr>
      <w:r>
        <w:rPr>
          <w:rFonts w:cs="Liberation Serif" w:ascii="Liberation Serif" w:hAnsi="Liberation Serif"/>
          <w:b/>
          <w:color w:val="000000"/>
          <w:sz w:val="26"/>
          <w:szCs w:val="26"/>
        </w:rPr>
        <w:t xml:space="preserve">ОКПД2 41.10.10.000 Выполнение проектно-изыскательских работ </w:t>
      </w:r>
    </w:p>
    <w:p>
      <w:pPr>
        <w:pStyle w:val="Standard"/>
        <w:spacing w:before="0" w:after="0"/>
        <w:ind w:left="0" w:right="0" w:firstLine="851"/>
        <w:jc w:val="center"/>
        <w:rPr>
          <w:sz w:val="26"/>
          <w:szCs w:val="26"/>
        </w:rPr>
      </w:pPr>
      <w:r>
        <w:rPr>
          <w:rFonts w:cs="Liberation Serif" w:ascii="Liberation Serif" w:hAnsi="Liberation Serif"/>
          <w:b/>
          <w:color w:val="000000"/>
          <w:sz w:val="26"/>
          <w:szCs w:val="26"/>
        </w:rPr>
        <w:t>«Строительство ПС 110 кВ Молодежная. Строительство ответвительной ЛЭП 110 кВ от КВЛ 110 кВ Благовещенская – Центральная № 1 с отпайками до ПС 110 кВ Молодежная с образованием КВЛ 110 кВ Благовещенская – Центральная № 1 с отпайками, строительство ответвительной ЛЭП 110 кВ от КВЛ 110 кВ Благовещенская – Центральная № 2 с отпайкой на ПС Северная до ПС 110 кВ Молодежная  с образованием КВЛ 110 кВ Благовещенская – Центральная № 2 с отпайками.  Строительство КЛ 10 кВ от РУ 10 кВ ПС 110 кВ Молодёжная до РТП 10 кВ № 1 и КЛ 10 кВ от РУ 10 кВ ПС 110 кВ Молодёжная до РТП 10 кВ №2» (заявитель ООО «Специализированный застройщик «ПИК Благовещенск» (договор ТПр от 13.08.2025 № 3802/24-ТП-630) в рамках инвестиционного проекта Q_28-АЭС-6082-Ц</w:t>
      </w:r>
    </w:p>
    <w:p>
      <w:pPr>
        <w:pStyle w:val="Standard"/>
        <w:spacing w:before="0" w:after="0"/>
        <w:ind w:left="0" w:right="0" w:firstLine="851"/>
        <w:jc w:val="center"/>
        <w:rPr>
          <w:rFonts w:ascii="Liberation Serif" w:hAnsi="Liberation Serif" w:cs="Liberation Serif"/>
          <w:b/>
          <w:sz w:val="26"/>
          <w:szCs w:val="26"/>
        </w:rPr>
      </w:pPr>
      <w:r>
        <w:rPr>
          <w:rFonts w:cs="Liberation Serif" w:ascii="Liberation Serif" w:hAnsi="Liberation Serif"/>
          <w:b/>
          <w:sz w:val="26"/>
          <w:szCs w:val="26"/>
        </w:rPr>
      </w:r>
    </w:p>
    <w:p>
      <w:pPr>
        <w:pStyle w:val="Standard"/>
        <w:spacing w:before="0" w:after="0"/>
        <w:ind w:left="0" w:right="0" w:firstLine="709"/>
        <w:jc w:val="both"/>
        <w:rPr>
          <w:sz w:val="26"/>
          <w:szCs w:val="26"/>
        </w:rPr>
      </w:pPr>
      <w:r>
        <w:rPr>
          <w:rFonts w:cs="Liberation Serif" w:ascii="Liberation Serif" w:hAnsi="Liberation Serif"/>
          <w:b/>
          <w:sz w:val="26"/>
          <w:szCs w:val="26"/>
        </w:rPr>
        <w:t>1. Основание для проектирования:</w:t>
      </w:r>
    </w:p>
    <w:p>
      <w:pPr>
        <w:pStyle w:val="Standard"/>
        <w:spacing w:before="0" w:after="0"/>
        <w:ind w:left="0" w:right="0" w:firstLine="709"/>
        <w:jc w:val="both"/>
        <w:rPr>
          <w:sz w:val="26"/>
          <w:szCs w:val="26"/>
        </w:rPr>
      </w:pPr>
      <w:r>
        <w:rPr>
          <w:rFonts w:cs="Liberation Serif" w:ascii="Liberation Serif" w:hAnsi="Liberation Serif"/>
          <w:sz w:val="26"/>
          <w:szCs w:val="26"/>
        </w:rPr>
        <w:t>1.1. Инвестиционная программа филиала АО «ДРСК» 2026-2031 в составе мероприятия Q_28-АЭС-6082-Ц.</w:t>
      </w:r>
    </w:p>
    <w:p>
      <w:pPr>
        <w:pStyle w:val="Standard"/>
        <w:spacing w:before="0" w:after="0"/>
        <w:ind w:left="0" w:right="0" w:firstLine="709"/>
        <w:jc w:val="both"/>
        <w:rPr>
          <w:sz w:val="26"/>
          <w:szCs w:val="26"/>
        </w:rPr>
      </w:pPr>
      <w:r>
        <w:rPr>
          <w:rFonts w:cs="Liberation Serif" w:ascii="Liberation Serif" w:hAnsi="Liberation Serif"/>
          <w:sz w:val="26"/>
          <w:szCs w:val="26"/>
        </w:rPr>
        <w:t>1.2. Договор на технологическое присоединение к электрическим сетям АО «ДРСК» заявителя ООО «Специализированный застройщик «ПИК Благовещенск» по договору ТПр от 1</w:t>
      </w:r>
      <w:r>
        <w:rPr>
          <w:rFonts w:cs="Liberation Serif" w:ascii="Liberation Serif" w:hAnsi="Liberation Serif"/>
          <w:color w:val="auto"/>
          <w:sz w:val="26"/>
          <w:szCs w:val="26"/>
        </w:rPr>
        <w:t>3.08.2025 № 3802/24-ТП-630.</w:t>
      </w:r>
    </w:p>
    <w:p>
      <w:pPr>
        <w:pStyle w:val="Standard"/>
        <w:spacing w:before="0" w:after="0"/>
        <w:ind w:left="0" w:right="0" w:firstLine="709"/>
        <w:jc w:val="both"/>
        <w:rPr>
          <w:rFonts w:ascii="Liberation Serif" w:hAnsi="Liberation Serif" w:cs="Liberation Serif"/>
          <w:color w:val="auto"/>
          <w:sz w:val="26"/>
          <w:szCs w:val="26"/>
        </w:rPr>
      </w:pPr>
      <w:r>
        <w:rPr>
          <w:rFonts w:cs="Liberation Serif" w:ascii="Liberation Serif" w:hAnsi="Liberation Serif"/>
          <w:color w:val="0808FF"/>
          <w:sz w:val="26"/>
          <w:szCs w:val="26"/>
        </w:rPr>
        <w:t>1.3. Технические условия для технологического присоединения к электрическим сетям ПАО  «Россети»  объектов электросетевого хозяйства АО «ДРСК» от 13.12.2024.</w:t>
      </w:r>
    </w:p>
    <w:p>
      <w:pPr>
        <w:pStyle w:val="Standard"/>
        <w:spacing w:before="0" w:after="0"/>
        <w:ind w:left="0" w:right="0" w:firstLine="709"/>
        <w:jc w:val="both"/>
        <w:rPr>
          <w:sz w:val="26"/>
          <w:szCs w:val="26"/>
        </w:rPr>
      </w:pPr>
      <w:r>
        <w:rPr>
          <w:rFonts w:cs="Liberation Serif" w:ascii="Liberation Serif" w:hAnsi="Liberation Serif"/>
          <w:b/>
          <w:color w:val="auto"/>
          <w:sz w:val="26"/>
          <w:szCs w:val="26"/>
        </w:rPr>
        <w:t xml:space="preserve">2. Основные нормативно-правовые акты (НПА), нормативно-технические документы (НТД), </w:t>
      </w:r>
      <w:r>
        <w:rPr>
          <w:rFonts w:cs="Liberation Serif" w:ascii="Liberation Serif" w:hAnsi="Liberation Serif"/>
          <w:color w:val="auto"/>
          <w:sz w:val="26"/>
          <w:szCs w:val="26"/>
        </w:rPr>
        <w:t>определяющие требования к проектной и рабочей документации, указаны в Приложении 13.</w:t>
      </w:r>
    </w:p>
    <w:p>
      <w:pPr>
        <w:pStyle w:val="Standard"/>
        <w:spacing w:before="0" w:after="0"/>
        <w:ind w:left="0" w:right="0" w:firstLine="709"/>
        <w:jc w:val="both"/>
        <w:rPr>
          <w:sz w:val="26"/>
          <w:szCs w:val="26"/>
        </w:rPr>
      </w:pPr>
      <w:r>
        <w:rPr>
          <w:rFonts w:cs="Liberation Serif" w:ascii="Liberation Serif" w:hAnsi="Liberation Serif"/>
          <w:color w:val="auto"/>
          <w:sz w:val="26"/>
          <w:szCs w:val="26"/>
        </w:rPr>
        <w:t>Данный список НТД не является полным и окончательным. При выполнении работ необходимо руководствоваться последними редакциями нормативно-технических и законодательных документов РФ.</w:t>
      </w:r>
    </w:p>
    <w:p>
      <w:pPr>
        <w:pStyle w:val="Standard"/>
        <w:spacing w:before="0" w:after="0"/>
        <w:ind w:left="0" w:right="0" w:firstLine="709"/>
        <w:jc w:val="both"/>
        <w:rPr>
          <w:sz w:val="26"/>
          <w:szCs w:val="26"/>
        </w:rPr>
      </w:pPr>
      <w:r>
        <w:rPr>
          <w:sz w:val="26"/>
          <w:szCs w:val="26"/>
        </w:rPr>
      </w:r>
    </w:p>
    <w:p>
      <w:pPr>
        <w:pStyle w:val="Standard"/>
        <w:spacing w:before="0" w:after="0"/>
        <w:ind w:left="0" w:right="0" w:firstLine="709"/>
        <w:jc w:val="both"/>
        <w:rPr>
          <w:sz w:val="26"/>
          <w:szCs w:val="26"/>
        </w:rPr>
      </w:pPr>
      <w:r>
        <w:rPr>
          <w:rFonts w:cs="Liberation Serif" w:ascii="Liberation Serif" w:hAnsi="Liberation Serif"/>
          <w:b/>
          <w:color w:val="auto"/>
          <w:sz w:val="26"/>
          <w:szCs w:val="26"/>
        </w:rPr>
        <w:t>3. Основные характеристики сооружаемого объекта.</w:t>
      </w:r>
    </w:p>
    <w:p>
      <w:pPr>
        <w:pStyle w:val="Standard"/>
        <w:spacing w:before="0" w:after="0"/>
        <w:ind w:left="0" w:right="0" w:firstLine="709"/>
        <w:jc w:val="both"/>
        <w:rPr>
          <w:sz w:val="26"/>
          <w:szCs w:val="26"/>
        </w:rPr>
      </w:pPr>
      <w:r>
        <w:rPr>
          <w:rFonts w:cs="Liberation Serif" w:ascii="Liberation Serif" w:hAnsi="Liberation Serif"/>
          <w:color w:val="auto"/>
          <w:sz w:val="26"/>
          <w:szCs w:val="26"/>
        </w:rPr>
        <w:t xml:space="preserve"> </w:t>
      </w:r>
      <w:r>
        <w:rPr>
          <w:rFonts w:cs="Liberation Serif" w:ascii="Liberation Serif" w:hAnsi="Liberation Serif"/>
          <w:color w:val="auto"/>
          <w:sz w:val="26"/>
          <w:szCs w:val="26"/>
        </w:rPr>
        <w:t>Планируемое месторасположение объектов, указанных в п.3.1, 3.2 согласно приложению № 9 настоящего зад</w:t>
      </w:r>
      <w:r>
        <w:rPr>
          <w:rFonts w:cs="Liberation Serif" w:ascii="Liberation Serif" w:hAnsi="Liberation Serif"/>
          <w:color w:val="000000"/>
          <w:sz w:val="26"/>
          <w:szCs w:val="26"/>
        </w:rPr>
        <w:t>ания на проектирование.</w:t>
      </w:r>
    </w:p>
    <w:p>
      <w:pPr>
        <w:pStyle w:val="Standard"/>
        <w:spacing w:before="0" w:after="0"/>
        <w:ind w:left="0" w:right="0" w:firstLine="709"/>
        <w:jc w:val="both"/>
        <w:rPr>
          <w:rFonts w:ascii="Liberation Serif" w:hAnsi="Liberation Serif"/>
          <w:sz w:val="24"/>
          <w:szCs w:val="24"/>
        </w:rPr>
      </w:pPr>
      <w:r>
        <w:rPr>
          <w:rFonts w:cs="Liberation Serif" w:ascii="Liberation Serif" w:hAnsi="Liberation Serif"/>
          <w:color w:val="000000"/>
          <w:sz w:val="24"/>
          <w:szCs w:val="24"/>
        </w:rPr>
        <w:t>3.1. Строительство</w:t>
      </w:r>
      <w:r>
        <w:rPr>
          <w:rFonts w:cs="Liberation Serif" w:ascii="Liberation Serif" w:hAnsi="Liberation Serif"/>
          <w:b/>
          <w:color w:val="000000"/>
          <w:sz w:val="24"/>
          <w:szCs w:val="24"/>
        </w:rPr>
        <w:t xml:space="preserve"> </w:t>
      </w:r>
      <w:r>
        <w:rPr>
          <w:rFonts w:cs="Liberation Serif" w:ascii="Liberation Serif" w:hAnsi="Liberation Serif"/>
          <w:color w:val="000000"/>
          <w:sz w:val="24"/>
          <w:szCs w:val="24"/>
        </w:rPr>
        <w:t>ПС 110 кВ Молодежная:</w:t>
      </w:r>
    </w:p>
    <w:p>
      <w:pPr>
        <w:pStyle w:val="Standard"/>
        <w:spacing w:before="0" w:after="0"/>
        <w:ind w:left="0" w:right="0" w:firstLine="709"/>
        <w:jc w:val="right"/>
        <w:rPr>
          <w:rFonts w:ascii="Liberation Serif" w:hAnsi="Liberation Serif"/>
        </w:rPr>
      </w:pPr>
      <w:r>
        <w:rPr>
          <w:rFonts w:cs="Liberation Serif" w:ascii="Liberation Serif" w:hAnsi="Liberation Serif"/>
          <w:i/>
          <w:color w:val="000000"/>
          <w:sz w:val="20"/>
        </w:rPr>
        <w:t>Таблица 1.</w:t>
      </w:r>
    </w:p>
    <w:tbl>
      <w:tblPr>
        <w:tblW w:w="10343" w:type="dxa"/>
        <w:jc w:val="center"/>
        <w:tblInd w:w="0" w:type="dxa"/>
        <w:tblLayout w:type="fixed"/>
        <w:tblCellMar>
          <w:top w:w="0" w:type="dxa"/>
          <w:left w:w="5" w:type="dxa"/>
          <w:bottom w:w="0" w:type="dxa"/>
          <w:right w:w="93" w:type="dxa"/>
        </w:tblCellMar>
      </w:tblPr>
      <w:tblGrid>
        <w:gridCol w:w="5382"/>
        <w:gridCol w:w="4960"/>
      </w:tblGrid>
      <w:tr>
        <w:trPr>
          <w:trHeight w:val="152" w:hRule="atLeast"/>
        </w:trPr>
        <w:tc>
          <w:tcPr>
            <w:tcW w:w="5382"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jc w:val="both"/>
              <w:rPr>
                <w:rFonts w:ascii="Liberation Serif" w:hAnsi="Liberation Serif"/>
              </w:rPr>
            </w:pPr>
            <w:r>
              <w:rPr>
                <w:rFonts w:cs="Liberation Serif" w:ascii="Liberation Serif" w:hAnsi="Liberation Serif"/>
                <w:b/>
                <w:color w:val="000000"/>
                <w:szCs w:val="22"/>
              </w:rPr>
              <w:t>Наименование характеристики</w:t>
            </w:r>
          </w:p>
        </w:tc>
        <w:tc>
          <w:tcPr>
            <w:tcW w:w="4960" w:type="dxa"/>
            <w:tcBorders>
              <w:top w:val="single" w:sz="4" w:space="0" w:color="000001"/>
              <w:left w:val="single" w:sz="4" w:space="0" w:color="000001"/>
              <w:bottom w:val="single" w:sz="4" w:space="0" w:color="000001"/>
              <w:right w:val="single" w:sz="4" w:space="0" w:color="000001"/>
            </w:tcBorders>
            <w:shd w:fill="FFFFFF" w:val="clear"/>
            <w:vAlign w:val="center"/>
          </w:tcPr>
          <w:p>
            <w:pPr>
              <w:pStyle w:val="Standard"/>
              <w:widowControl w:val="false"/>
              <w:spacing w:before="0" w:after="0"/>
              <w:jc w:val="both"/>
              <w:rPr>
                <w:rFonts w:ascii="Liberation Serif" w:hAnsi="Liberation Serif"/>
              </w:rPr>
            </w:pPr>
            <w:r>
              <w:rPr>
                <w:rFonts w:cs="Liberation Serif" w:ascii="Liberation Serif" w:hAnsi="Liberation Serif"/>
                <w:b/>
                <w:color w:val="000000"/>
                <w:szCs w:val="22"/>
              </w:rPr>
              <w:t>Характеристика объекта</w:t>
            </w:r>
            <w:bookmarkStart w:id="2" w:name="_GoBack1"/>
            <w:bookmarkEnd w:id="2"/>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Номинальные напряжения</w:t>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110/10 кВ</w:t>
            </w:r>
          </w:p>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(уточнить при проектировании)</w:t>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Конструктивное исполнение ПС и РУ (открытое, закрытое, КТП, КРУЭ и т.д.)</w:t>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110 кВ – открытое;</w:t>
            </w:r>
          </w:p>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10 кВ – закрытое.</w:t>
            </w:r>
          </w:p>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(уточнить при проектировании)</w:t>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Тип схемы каждого РУ</w:t>
            </w:r>
          </w:p>
          <w:p>
            <w:pPr>
              <w:pStyle w:val="19"/>
              <w:widowControl w:val="false"/>
              <w:rPr>
                <w:rFonts w:ascii="Liberation Serif" w:hAnsi="Liberation Serif"/>
                <w:sz w:val="22"/>
                <w:szCs w:val="22"/>
              </w:rPr>
            </w:pPr>
            <w:r>
              <w:rPr>
                <w:rFonts w:ascii="Liberation Serif" w:hAnsi="Liberation Serif"/>
                <w:sz w:val="22"/>
                <w:szCs w:val="22"/>
              </w:rPr>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rPr>
                <w:rFonts w:ascii="Liberation Serif" w:hAnsi="Liberation Serif"/>
              </w:rPr>
            </w:pPr>
            <w:r>
              <w:rPr>
                <w:rFonts w:cs="Liberation Serif" w:ascii="Liberation Serif" w:hAnsi="Liberation Serif"/>
                <w:color w:val="000000"/>
                <w:szCs w:val="22"/>
              </w:rPr>
              <w:t>110 кВ: № 110-4Н «Два блока с выключателями и неавтоматической перемычкой со стороны линий»;</w:t>
            </w:r>
          </w:p>
          <w:p>
            <w:pPr>
              <w:pStyle w:val="Standard"/>
              <w:widowControl w:val="false"/>
              <w:spacing w:before="0" w:after="0"/>
              <w:rPr>
                <w:rFonts w:ascii="Liberation Serif" w:hAnsi="Liberation Serif"/>
              </w:rPr>
            </w:pPr>
            <w:r>
              <w:rPr>
                <w:rFonts w:cs="Liberation Serif" w:ascii="Liberation Serif" w:hAnsi="Liberation Serif"/>
                <w:color w:val="000000"/>
                <w:szCs w:val="22"/>
              </w:rPr>
              <w:t>10 кВ: № 10-1 «Одна, секционированная выключателем, система шин».</w:t>
            </w:r>
          </w:p>
          <w:p>
            <w:pPr>
              <w:pStyle w:val="Standard"/>
              <w:widowControl w:val="false"/>
              <w:spacing w:before="0" w:after="0"/>
              <w:rPr>
                <w:rFonts w:ascii="Liberation Serif" w:hAnsi="Liberation Serif"/>
              </w:rPr>
            </w:pPr>
            <w:r>
              <w:rPr>
                <w:rFonts w:cs="Liberation Serif" w:ascii="Liberation Serif" w:hAnsi="Liberation Serif"/>
                <w:color w:val="000000"/>
                <w:szCs w:val="22"/>
              </w:rPr>
              <w:t>(уточнить при проектировании)</w:t>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Количество линий, подключаемых к подстанции, по каждому РУ</w:t>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110 кВ: две</w:t>
            </w:r>
          </w:p>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10 кВ: определить проектом.</w:t>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Количество резервных ячеек по каждому РУ</w:t>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Определить при проектировании.</w:t>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Количество и мощность силовых трансформаторов и автотрансформаторов</w:t>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2х16 МВА</w:t>
            </w:r>
          </w:p>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(уточнить при проектировании)</w:t>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Тип, количество и мощность средств компенсации реактивной мощности (СКРМ)</w:t>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Определить при проектировании.</w:t>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Система собственных нужд</w:t>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Определить при проектировании.</w:t>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РЗ, СА</w:t>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Определить при проектировании.</w:t>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Противоаварийная автоматика (ПА)</w:t>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Определить при проектировании.</w:t>
            </w:r>
          </w:p>
        </w:tc>
      </w:tr>
      <w:tr>
        <w:trPr>
          <w:trHeight w:val="617" w:hRule="atLeast"/>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60" w:after="0"/>
              <w:jc w:val="both"/>
              <w:rPr>
                <w:rFonts w:ascii="Liberation Serif" w:hAnsi="Liberation Serif"/>
              </w:rPr>
            </w:pPr>
            <w:r>
              <w:rPr>
                <w:rFonts w:cs="Liberation Serif" w:ascii="Liberation Serif" w:hAnsi="Liberation Serif"/>
                <w:color w:val="000000"/>
                <w:szCs w:val="22"/>
              </w:rPr>
              <w:t>Система управления основным и вспомогательным оборудованием, система сбора и передачи информации</w:t>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tabs>
                <w:tab w:val="clear" w:pos="709"/>
                <w:tab w:val="left" w:pos="566" w:leader="none"/>
              </w:tabs>
              <w:spacing w:before="60" w:after="0"/>
              <w:jc w:val="both"/>
              <w:rPr>
                <w:rFonts w:ascii="Liberation Serif" w:hAnsi="Liberation Serif"/>
              </w:rPr>
            </w:pPr>
            <w:r>
              <w:rPr>
                <w:rFonts w:cs="Liberation Serif" w:ascii="Liberation Serif" w:hAnsi="Liberation Serif"/>
                <w:color w:val="000000"/>
                <w:szCs w:val="22"/>
              </w:rPr>
              <w:t>1. Создание системы связи;</w:t>
            </w:r>
          </w:p>
          <w:p>
            <w:pPr>
              <w:pStyle w:val="Standard"/>
              <w:widowControl w:val="false"/>
              <w:tabs>
                <w:tab w:val="clear" w:pos="709"/>
                <w:tab w:val="left" w:pos="566" w:leader="none"/>
              </w:tabs>
              <w:jc w:val="both"/>
              <w:rPr>
                <w:rFonts w:ascii="Liberation Serif" w:hAnsi="Liberation Serif"/>
              </w:rPr>
            </w:pPr>
            <w:r>
              <w:rPr>
                <w:rFonts w:cs="Liberation Serif" w:ascii="Liberation Serif" w:hAnsi="Liberation Serif"/>
                <w:color w:val="000000"/>
                <w:szCs w:val="22"/>
              </w:rPr>
              <w:t>2. Создание ССПИ.</w:t>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Регистрация аварийных событий и процессов (РАС, ОМП)</w:t>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Определить при проектировании.</w:t>
            </w:r>
          </w:p>
          <w:p>
            <w:pPr>
              <w:pStyle w:val="19"/>
              <w:widowControl w:val="false"/>
              <w:rPr>
                <w:rFonts w:ascii="Liberation Serif" w:hAnsi="Liberation Serif"/>
                <w:sz w:val="22"/>
                <w:szCs w:val="22"/>
              </w:rPr>
            </w:pPr>
            <w:r>
              <w:rPr>
                <w:rFonts w:ascii="Liberation Serif" w:hAnsi="Liberation Serif"/>
                <w:sz w:val="22"/>
                <w:szCs w:val="22"/>
              </w:rPr>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Вид обслуживания</w:t>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Оперативный, без постоянного дежурного персонала</w:t>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Возможность расширения</w:t>
            </w:r>
          </w:p>
          <w:p>
            <w:pPr>
              <w:pStyle w:val="19"/>
              <w:widowControl w:val="false"/>
              <w:rPr>
                <w:rFonts w:ascii="Liberation Serif" w:hAnsi="Liberation Serif"/>
                <w:sz w:val="22"/>
                <w:szCs w:val="22"/>
              </w:rPr>
            </w:pPr>
            <w:r>
              <w:rPr>
                <w:rFonts w:ascii="Liberation Serif" w:hAnsi="Liberation Serif"/>
                <w:sz w:val="22"/>
                <w:szCs w:val="22"/>
              </w:rPr>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ОРУ 110 кВ: нет;</w:t>
            </w:r>
          </w:p>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ЗРУ 10 кВ: на три линейные ячейки по каждой секции шин.</w:t>
            </w:r>
          </w:p>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(уточнить при проектировании)</w:t>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Прочие особенности ПС, включая:</w:t>
            </w:r>
          </w:p>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 требования к охране объекта;</w:t>
            </w:r>
          </w:p>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 объем телемеханики и связи с объектом</w:t>
            </w:r>
          </w:p>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 и т.д. (с уточнением в проекте)</w:t>
            </w:r>
          </w:p>
        </w:tc>
        <w:tc>
          <w:tcPr>
            <w:tcW w:w="4960" w:type="dxa"/>
            <w:tcBorders>
              <w:top w:val="single" w:sz="4" w:space="0" w:color="000001"/>
              <w:left w:val="single" w:sz="4" w:space="0" w:color="000001"/>
              <w:bottom w:val="single" w:sz="4" w:space="0" w:color="000001"/>
              <w:right w:val="single" w:sz="4" w:space="0" w:color="000001"/>
            </w:tcBorders>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В соответствие с ТТ на разработку проектной и рабочей документации по строительству</w:t>
            </w:r>
          </w:p>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ПС 110 кВ Молодеж</w:t>
            </w:r>
            <w:r>
              <w:rPr>
                <w:rFonts w:cs="Liberation Serif" w:ascii="Liberation Serif" w:hAnsi="Liberation Serif"/>
                <w:color w:val="auto"/>
                <w:szCs w:val="22"/>
              </w:rPr>
              <w:t>ная (Приложение № 1 к настоящему заданию на проектирование)</w:t>
            </w:r>
          </w:p>
        </w:tc>
      </w:tr>
      <w:tr>
        <w:trPr/>
        <w:tc>
          <w:tcPr>
            <w:tcW w:w="5382"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 xml:space="preserve">Вид </w:t>
            </w:r>
          </w:p>
        </w:tc>
        <w:tc>
          <w:tcPr>
            <w:tcW w:w="4960"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Cs w:val="22"/>
              </w:rPr>
              <w:t>Новое строительство</w:t>
            </w:r>
          </w:p>
        </w:tc>
      </w:tr>
    </w:tbl>
    <w:p>
      <w:pPr>
        <w:pStyle w:val="Standard"/>
        <w:ind w:left="0" w:right="0" w:firstLine="680"/>
        <w:jc w:val="both"/>
        <w:rPr>
          <w:sz w:val="26"/>
          <w:szCs w:val="26"/>
        </w:rPr>
      </w:pPr>
      <w:r>
        <w:rPr>
          <w:rFonts w:cs="Liberation Serif" w:ascii="Liberation Serif" w:hAnsi="Liberation Serif"/>
          <w:color w:val="000000"/>
          <w:sz w:val="26"/>
          <w:szCs w:val="26"/>
        </w:rPr>
        <w:t>ПС присвоить следующее диспетчерское наименование: ПС 110 кВ Молодежная</w:t>
      </w:r>
    </w:p>
    <w:p>
      <w:pPr>
        <w:pStyle w:val="112"/>
        <w:tabs>
          <w:tab w:val="clear" w:pos="709"/>
          <w:tab w:val="left" w:pos="1370" w:leader="none"/>
        </w:tabs>
        <w:spacing w:before="0" w:after="120"/>
        <w:ind w:left="0" w:right="0" w:firstLine="709"/>
        <w:jc w:val="both"/>
        <w:rPr>
          <w:sz w:val="26"/>
          <w:szCs w:val="26"/>
        </w:rPr>
      </w:pPr>
      <w:r>
        <w:rPr>
          <w:rFonts w:cs="Liberation Serif" w:ascii="Liberation Serif" w:hAnsi="Liberation Serif"/>
          <w:color w:val="000000"/>
          <w:sz w:val="26"/>
          <w:szCs w:val="26"/>
        </w:rPr>
        <w:t>Указанное диспетчерское наименование является предварительным. При присвоении диспетчерских наименований следует руководствоваться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pPr>
        <w:pStyle w:val="Standard"/>
        <w:spacing w:before="0" w:after="0"/>
        <w:ind w:left="0" w:right="0" w:firstLine="709"/>
        <w:jc w:val="both"/>
        <w:rPr>
          <w:sz w:val="26"/>
          <w:szCs w:val="26"/>
        </w:rPr>
      </w:pPr>
      <w:r>
        <w:rPr>
          <w:rFonts w:cs="Liberation Serif" w:ascii="Liberation Serif" w:hAnsi="Liberation Serif"/>
          <w:b/>
          <w:color w:val="000000"/>
          <w:sz w:val="26"/>
          <w:szCs w:val="26"/>
        </w:rPr>
        <w:t>3.2.</w:t>
      </w:r>
      <w:r>
        <w:rPr>
          <w:rFonts w:cs="Liberation Serif" w:ascii="Liberation Serif" w:hAnsi="Liberation Serif"/>
          <w:color w:val="000000"/>
          <w:sz w:val="26"/>
          <w:szCs w:val="26"/>
        </w:rPr>
        <w:t xml:space="preserve"> Строительство ответвительной ЛЭП 110 кВ от КВЛ 110 кВ Благовещенская – Центральная № 1 с отпайками до ПС 110 кВ Молодежная с образованием КВЛ 110 кВ Благовещенская – Центральная № 1 с отпайками, строительство ответвительной ЛЭП 110 кВ от КВЛ 110 кВ Благовещенская – Центральная № 2 с отпайкой на ПС Северная до ПС 110 кВ Молодежная  с образованием КВЛ 110 кВ Благовещенская – Центральная № 2 с отпайками:</w:t>
      </w:r>
    </w:p>
    <w:p>
      <w:pPr>
        <w:pStyle w:val="Standard"/>
        <w:spacing w:before="0" w:after="0"/>
        <w:ind w:left="0" w:right="0" w:firstLine="709"/>
        <w:jc w:val="right"/>
        <w:rPr>
          <w:rFonts w:ascii="Liberation Serif" w:hAnsi="Liberation Serif"/>
        </w:rPr>
      </w:pPr>
      <w:r>
        <w:rPr>
          <w:rFonts w:cs="Liberation Serif" w:ascii="Liberation Serif" w:hAnsi="Liberation Serif"/>
          <w:i/>
          <w:color w:val="000000"/>
          <w:sz w:val="20"/>
        </w:rPr>
        <w:t>Таблица 2.</w:t>
      </w:r>
    </w:p>
    <w:tbl>
      <w:tblPr>
        <w:tblW w:w="10375" w:type="dxa"/>
        <w:jc w:val="center"/>
        <w:tblInd w:w="0" w:type="dxa"/>
        <w:tblLayout w:type="fixed"/>
        <w:tblCellMar>
          <w:top w:w="0" w:type="dxa"/>
          <w:left w:w="5" w:type="dxa"/>
          <w:bottom w:w="0" w:type="dxa"/>
          <w:right w:w="93" w:type="dxa"/>
        </w:tblCellMar>
      </w:tblPr>
      <w:tblGrid>
        <w:gridCol w:w="1397"/>
        <w:gridCol w:w="3762"/>
        <w:gridCol w:w="5216"/>
      </w:tblGrid>
      <w:tr>
        <w:trPr/>
        <w:tc>
          <w:tcPr>
            <w:tcW w:w="5159" w:type="dxa"/>
            <w:gridSpan w:val="2"/>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jc w:val="both"/>
              <w:rPr>
                <w:rFonts w:ascii="Liberation Serif" w:hAnsi="Liberation Serif"/>
              </w:rPr>
            </w:pPr>
            <w:r>
              <w:rPr>
                <w:rFonts w:cs="Liberation Serif" w:ascii="Liberation Serif" w:hAnsi="Liberation Serif"/>
                <w:b/>
                <w:color w:val="000000"/>
                <w:sz w:val="20"/>
              </w:rPr>
              <w:t>Наименование характеристики</w:t>
            </w:r>
          </w:p>
        </w:tc>
        <w:tc>
          <w:tcPr>
            <w:tcW w:w="5216" w:type="dxa"/>
            <w:tcBorders>
              <w:top w:val="single" w:sz="4" w:space="0" w:color="000001"/>
              <w:left w:val="single" w:sz="4" w:space="0" w:color="000001"/>
              <w:bottom w:val="single" w:sz="4" w:space="0" w:color="000001"/>
              <w:right w:val="single" w:sz="4" w:space="0" w:color="000001"/>
            </w:tcBorders>
            <w:shd w:fill="FFFFFF" w:val="clear"/>
            <w:vAlign w:val="center"/>
          </w:tcPr>
          <w:p>
            <w:pPr>
              <w:pStyle w:val="Standard"/>
              <w:widowControl w:val="false"/>
              <w:spacing w:before="0" w:after="0"/>
              <w:jc w:val="both"/>
              <w:rPr>
                <w:rFonts w:ascii="Liberation Serif" w:hAnsi="Liberation Serif"/>
              </w:rPr>
            </w:pPr>
            <w:r>
              <w:rPr>
                <w:rFonts w:cs="Liberation Serif" w:ascii="Liberation Serif" w:hAnsi="Liberation Serif"/>
                <w:b/>
                <w:color w:val="000000"/>
                <w:sz w:val="20"/>
              </w:rPr>
              <w:t>Характеристика объекта</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Наименования сооружения, согласно сведениям ЕГРН</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ВЛ-110 Благовещенск-Центральная</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Кадастровый номер сооружения</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28:01:000000:4626</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Инвентарный номер</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AS0032618</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Вид строительства:</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Новое строительство, реконструкция</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Новое строительство, реконструкция</w:t>
            </w:r>
          </w:p>
          <w:p>
            <w:pPr>
              <w:pStyle w:val="19"/>
              <w:widowControl w:val="false"/>
              <w:rPr>
                <w:rFonts w:ascii="Liberation Serif" w:hAnsi="Liberation Serif"/>
              </w:rPr>
            </w:pPr>
            <w:r>
              <w:rPr>
                <w:rFonts w:ascii="Liberation Serif" w:hAnsi="Liberation Serif"/>
              </w:rPr>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строительство ответвительной ЛЭП 110 кВ от КВЛ 110 кВ Благовещенская – Центральная № 1 с отпайками до ПС 110 кВ Молодежная;</w:t>
            </w:r>
          </w:p>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строительство ответвительной ЛЭП 110 кВ от КВЛ 110 кВ Благовещенская – Центральная № 2 с отпайкой на ПС Северная до ПС 110 кВ Молодежная.</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cs="Liberation Serif"/>
                <w:color w:val="000000"/>
              </w:rPr>
            </w:pPr>
            <w:r>
              <w:rPr>
                <w:rFonts w:cs="Liberation Serif" w:ascii="Liberation Serif" w:hAnsi="Liberation Serif"/>
                <w:color w:val="000000"/>
              </w:rPr>
            </w:r>
          </w:p>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Наименование сооружения после реконструкции</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numPr>
                <w:ilvl w:val="0"/>
                <w:numId w:val="10"/>
              </w:numPr>
              <w:spacing w:before="0" w:after="0"/>
              <w:ind w:left="142" w:right="0" w:hanging="0"/>
              <w:jc w:val="both"/>
              <w:rPr>
                <w:rFonts w:ascii="Liberation Serif" w:hAnsi="Liberation Serif"/>
              </w:rPr>
            </w:pPr>
            <w:r>
              <w:rPr>
                <w:rFonts w:cs="Liberation Serif" w:ascii="Liberation Serif" w:hAnsi="Liberation Serif"/>
                <w:color w:val="000000"/>
                <w:sz w:val="20"/>
              </w:rPr>
              <w:t xml:space="preserve">КВЛ 110 кВ Благовещенская – </w:t>
            </w:r>
            <w:r>
              <w:rPr>
                <w:rFonts w:cs="Liberation Serif" w:ascii="Liberation Serif" w:hAnsi="Liberation Serif"/>
                <w:color w:val="auto"/>
                <w:sz w:val="20"/>
              </w:rPr>
              <w:t>Центральная № 1 с отпайками;</w:t>
            </w:r>
          </w:p>
          <w:p>
            <w:pPr>
              <w:pStyle w:val="Standard"/>
              <w:widowControl w:val="false"/>
              <w:numPr>
                <w:ilvl w:val="0"/>
                <w:numId w:val="10"/>
              </w:numPr>
              <w:spacing w:before="0" w:after="0"/>
              <w:ind w:left="142" w:right="0" w:hanging="0"/>
              <w:jc w:val="both"/>
              <w:rPr>
                <w:rFonts w:ascii="Liberation Serif" w:hAnsi="Liberation Serif"/>
              </w:rPr>
            </w:pPr>
            <w:r>
              <w:rPr>
                <w:rFonts w:cs="Liberation Serif" w:ascii="Liberation Serif" w:hAnsi="Liberation Serif"/>
                <w:color w:val="auto"/>
                <w:sz w:val="20"/>
              </w:rPr>
              <w:t>КВЛ 110 кВ Благовещенская – Центральная № 2</w:t>
            </w:r>
            <w:r>
              <w:rPr>
                <w:rFonts w:cs="Liberation Serif" w:ascii="Liberation Serif" w:hAnsi="Liberation Serif"/>
                <w:color w:val="000000"/>
                <w:sz w:val="20"/>
              </w:rPr>
              <w:t xml:space="preserve"> с отпайками</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Номинальное напряжение</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110 кВ</w:t>
            </w:r>
          </w:p>
        </w:tc>
      </w:tr>
      <w:tr>
        <w:trPr>
          <w:trHeight w:val="368" w:hRule="atLeast"/>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sz w:val="20"/>
              </w:rPr>
              <w:t>Исполнение ЛЭП</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sz w:val="20"/>
              </w:rPr>
              <w:t>кабельное или воздушное определить при проектировании</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sz w:val="20"/>
              </w:rPr>
              <w:t>Количество цепей</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sz w:val="20"/>
              </w:rPr>
              <w:t xml:space="preserve">Две </w:t>
            </w:r>
          </w:p>
          <w:p>
            <w:pPr>
              <w:pStyle w:val="Standard"/>
              <w:widowControl w:val="false"/>
              <w:spacing w:before="0" w:after="0"/>
              <w:jc w:val="both"/>
              <w:rPr>
                <w:rFonts w:ascii="Liberation Serif" w:hAnsi="Liberation Serif"/>
              </w:rPr>
            </w:pPr>
            <w:r>
              <w:rPr>
                <w:rFonts w:cs="Liberation Serif" w:ascii="Liberation Serif" w:hAnsi="Liberation Serif"/>
                <w:sz w:val="20"/>
              </w:rPr>
              <w:t>(уточнить при проектировании)</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Передаваемая мощность</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Определить при проектировании</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Длина трассы</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sz w:val="20"/>
              </w:rPr>
              <w:t>Ориентировочно 1 км по каждой ЛЭП (уточнить при проектировании)</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Наличие переходов через естественные и искусственные преграды</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rPr>
                <w:rFonts w:ascii="Liberation Serif" w:hAnsi="Liberation Serif"/>
              </w:rPr>
            </w:pPr>
            <w:r>
              <w:rPr>
                <w:rFonts w:cs="Liberation Serif" w:ascii="Liberation Serif" w:hAnsi="Liberation Serif"/>
                <w:sz w:val="20"/>
              </w:rPr>
              <w:t>А/д, ЛЭП, трубопроводы и другие препятствия (уточнить при проектировании)</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Число часов использования максимума нагрузки</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ind w:left="283" w:right="0" w:hanging="278"/>
              <w:jc w:val="both"/>
              <w:rPr>
                <w:rFonts w:ascii="Liberation Serif" w:hAnsi="Liberation Serif"/>
              </w:rPr>
            </w:pPr>
            <w:r>
              <w:rPr>
                <w:rFonts w:cs="Liberation Serif" w:ascii="Liberation Serif" w:hAnsi="Liberation Serif"/>
                <w:sz w:val="20"/>
              </w:rPr>
              <w:t>Определить при проектировании.</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Прочие особенности ВЛ (КЛ), включая рекомендации по типу опор и изоляции (с уточнением в проекте)</w:t>
            </w:r>
          </w:p>
          <w:p>
            <w:pPr>
              <w:pStyle w:val="19"/>
              <w:widowControl w:val="false"/>
              <w:rPr>
                <w:rFonts w:ascii="Liberation Serif" w:hAnsi="Liberation Serif"/>
              </w:rPr>
            </w:pPr>
            <w:r>
              <w:rPr>
                <w:rFonts w:ascii="Liberation Serif" w:hAnsi="Liberation Serif"/>
              </w:rPr>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rPr>
                <w:rFonts w:ascii="Liberation Serif" w:hAnsi="Liberation Serif"/>
              </w:rPr>
            </w:pPr>
            <w:r>
              <w:rPr>
                <w:rFonts w:cs="Liberation Serif" w:ascii="Liberation Serif" w:hAnsi="Liberation Serif"/>
                <w:sz w:val="20"/>
              </w:rPr>
              <w:t>В соответствии с ТТ на разработку проектной и рабочей документации по строительству ответвительной ЛЭП 110 кВ от КВЛ 110 кВ Благовещенская – Центральная № 1 с отпайками до ПС 110 кВ Молодежная с образованием КВЛ 110 кВ Благовещенская – Центральная № 1 с отпайками, строительство ответвительной ЛЭП 110 кВ от КВЛ 110 кВ Благовещенская – Центральная № 2 с отпайкой на ПС Северная до ПС 110 кВ Молодежная  с образованием КВЛ 110 кВ Благовещенская – Центральная № 2 с отпайками</w:t>
            </w:r>
          </w:p>
          <w:p>
            <w:pPr>
              <w:pStyle w:val="Standard"/>
              <w:widowControl w:val="false"/>
              <w:spacing w:before="0" w:after="0"/>
              <w:rPr>
                <w:rFonts w:ascii="Liberation Serif" w:hAnsi="Liberation Serif"/>
              </w:rPr>
            </w:pPr>
            <w:r>
              <w:rPr>
                <w:rFonts w:cs="Liberation Serif" w:ascii="Liberation Serif" w:hAnsi="Liberation Serif"/>
                <w:sz w:val="20"/>
              </w:rPr>
              <w:t>(уточнить при проектировании)</w:t>
            </w:r>
          </w:p>
        </w:tc>
      </w:tr>
      <w:tr>
        <w:trPr/>
        <w:tc>
          <w:tcPr>
            <w:tcW w:w="1397" w:type="dxa"/>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Средства связи</w:t>
            </w:r>
          </w:p>
        </w:tc>
        <w:tc>
          <w:tcPr>
            <w:tcW w:w="3762" w:type="dxa"/>
            <w:tcBorders>
              <w:top w:val="single" w:sz="4" w:space="0" w:color="000001"/>
              <w:left w:val="single" w:sz="4" w:space="0" w:color="000001"/>
              <w:bottom w:val="single" w:sz="4" w:space="0" w:color="000001"/>
            </w:tcBorders>
            <w:shd w:fill="FFFFFF" w:val="clear"/>
            <w:tcMar>
              <w:right w:w="10" w:type="dxa"/>
            </w:tcMar>
            <w:vAlign w:val="cente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Линейно-кабельные сооружения ВОЛС</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rPr>
                <w:rFonts w:ascii="Liberation Serif" w:hAnsi="Liberation Serif"/>
              </w:rPr>
            </w:pPr>
            <w:r>
              <w:rPr>
                <w:rFonts w:cs="Liberation Serif" w:ascii="Liberation Serif" w:hAnsi="Liberation Serif"/>
                <w:color w:val="000000"/>
                <w:sz w:val="20"/>
              </w:rPr>
              <w:t>Определить при проектировании.</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РЗ, СА, ПА</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tabs>
                <w:tab w:val="clear" w:pos="709"/>
                <w:tab w:val="left" w:pos="566" w:leader="none"/>
              </w:tabs>
              <w:spacing w:before="0" w:after="0"/>
              <w:rPr>
                <w:rFonts w:ascii="Liberation Serif" w:hAnsi="Liberation Serif"/>
              </w:rPr>
            </w:pPr>
            <w:r>
              <w:rPr>
                <w:rFonts w:cs="Liberation Serif" w:ascii="Liberation Serif" w:hAnsi="Liberation Serif"/>
                <w:color w:val="000000"/>
                <w:sz w:val="20"/>
              </w:rPr>
              <w:t>Определить при проектировании.</w:t>
            </w:r>
          </w:p>
        </w:tc>
      </w:tr>
      <w:tr>
        <w:trPr/>
        <w:tc>
          <w:tcPr>
            <w:tcW w:w="5159" w:type="dxa"/>
            <w:gridSpan w:val="2"/>
            <w:tcBorders>
              <w:top w:val="single" w:sz="4" w:space="0" w:color="000001"/>
              <w:left w:val="single" w:sz="4" w:space="0" w:color="000001"/>
              <w:bottom w:val="single" w:sz="4" w:space="0" w:color="000001"/>
            </w:tcBorders>
            <w:shd w:fill="FFFFFF" w:val="clear"/>
          </w:tcPr>
          <w:p>
            <w:pPr>
              <w:pStyle w:val="Standard"/>
              <w:widowControl w:val="false"/>
              <w:spacing w:before="0" w:after="0"/>
              <w:jc w:val="both"/>
              <w:rPr>
                <w:rFonts w:ascii="Liberation Serif" w:hAnsi="Liberation Serif"/>
              </w:rPr>
            </w:pPr>
            <w:r>
              <w:rPr>
                <w:rFonts w:cs="Liberation Serif" w:ascii="Liberation Serif" w:hAnsi="Liberation Serif"/>
                <w:color w:val="000000"/>
                <w:sz w:val="20"/>
              </w:rPr>
              <w:t>Регистрация аварийных событий и процессов (РАС, ОМП)</w:t>
            </w:r>
          </w:p>
        </w:tc>
        <w:tc>
          <w:tcPr>
            <w:tcW w:w="5216"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tabs>
                <w:tab w:val="clear" w:pos="709"/>
                <w:tab w:val="left" w:pos="566" w:leader="none"/>
              </w:tabs>
              <w:spacing w:before="0" w:after="0"/>
              <w:rPr>
                <w:rFonts w:ascii="Liberation Serif" w:hAnsi="Liberation Serif"/>
              </w:rPr>
            </w:pPr>
            <w:r>
              <w:rPr>
                <w:rFonts w:cs="Liberation Serif" w:ascii="Liberation Serif" w:hAnsi="Liberation Serif"/>
                <w:color w:val="000000"/>
                <w:sz w:val="20"/>
              </w:rPr>
              <w:t>Определить при проектировании.</w:t>
            </w:r>
          </w:p>
        </w:tc>
      </w:tr>
    </w:tbl>
    <w:p>
      <w:pPr>
        <w:pStyle w:val="Standard"/>
        <w:spacing w:lineRule="auto" w:line="240"/>
        <w:ind w:left="0" w:right="0" w:firstLine="737"/>
        <w:jc w:val="both"/>
        <w:rPr>
          <w:sz w:val="26"/>
          <w:szCs w:val="26"/>
        </w:rPr>
      </w:pPr>
      <w:r>
        <w:rPr>
          <w:rFonts w:cs="Liberation Serif" w:ascii="Liberation Serif" w:hAnsi="Liberation Serif"/>
          <w:color w:val="000000"/>
          <w:sz w:val="26"/>
          <w:szCs w:val="26"/>
        </w:rPr>
        <w:t xml:space="preserve">ЛЭП присвоить следующее диспетчерское наименования: </w:t>
      </w:r>
    </w:p>
    <w:p>
      <w:pPr>
        <w:pStyle w:val="Standard"/>
        <w:numPr>
          <w:ilvl w:val="0"/>
          <w:numId w:val="9"/>
        </w:numPr>
        <w:spacing w:lineRule="auto" w:line="240"/>
        <w:jc w:val="both"/>
        <w:rPr>
          <w:sz w:val="26"/>
          <w:szCs w:val="26"/>
        </w:rPr>
      </w:pPr>
      <w:r>
        <w:rPr>
          <w:rFonts w:cs="Liberation Serif" w:ascii="Liberation Serif" w:hAnsi="Liberation Serif"/>
          <w:color w:val="000000"/>
          <w:sz w:val="26"/>
          <w:szCs w:val="26"/>
        </w:rPr>
        <w:t xml:space="preserve">КВЛ 110 кВ Благовещенская – Центральная № 1 с отпайками; </w:t>
      </w:r>
    </w:p>
    <w:p>
      <w:pPr>
        <w:pStyle w:val="Standard"/>
        <w:numPr>
          <w:ilvl w:val="0"/>
          <w:numId w:val="9"/>
        </w:numPr>
        <w:spacing w:lineRule="auto" w:line="240"/>
        <w:jc w:val="both"/>
        <w:rPr>
          <w:sz w:val="26"/>
          <w:szCs w:val="26"/>
        </w:rPr>
      </w:pPr>
      <w:r>
        <w:rPr>
          <w:rFonts w:cs="Liberation Serif" w:ascii="Liberation Serif" w:hAnsi="Liberation Serif"/>
          <w:color w:val="000000"/>
          <w:sz w:val="26"/>
          <w:szCs w:val="26"/>
        </w:rPr>
        <w:t>КВЛ 110 кВ Благовещенская – Центральная № 2 с отпайками.</w:t>
      </w:r>
    </w:p>
    <w:p>
      <w:pPr>
        <w:pStyle w:val="112"/>
        <w:tabs>
          <w:tab w:val="clear" w:pos="709"/>
          <w:tab w:val="left" w:pos="1370" w:leader="none"/>
        </w:tabs>
        <w:spacing w:lineRule="auto" w:line="240"/>
        <w:ind w:left="0" w:right="0" w:firstLine="709"/>
        <w:jc w:val="both"/>
        <w:rPr>
          <w:sz w:val="26"/>
          <w:szCs w:val="26"/>
        </w:rPr>
      </w:pPr>
      <w:r>
        <w:rPr>
          <w:rFonts w:cs="Liberation Serif" w:ascii="Liberation Serif" w:hAnsi="Liberation Serif"/>
          <w:color w:val="000000"/>
          <w:sz w:val="26"/>
          <w:szCs w:val="26"/>
        </w:rPr>
        <w:t>Указанное диспетчерское наименование является предварительным. При присвоении диспетчерских наименований следует руководствоваться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pPr>
        <w:pStyle w:val="Standard"/>
        <w:spacing w:lineRule="auto" w:line="240"/>
        <w:ind w:left="0" w:right="0" w:firstLine="709"/>
        <w:jc w:val="both"/>
        <w:rPr>
          <w:sz w:val="26"/>
          <w:szCs w:val="26"/>
        </w:rPr>
      </w:pPr>
      <w:r>
        <w:rPr>
          <w:rFonts w:cs="Liberation Serif" w:ascii="Liberation Serif" w:hAnsi="Liberation Serif"/>
          <w:b/>
          <w:color w:val="000000"/>
          <w:sz w:val="26"/>
          <w:szCs w:val="26"/>
        </w:rPr>
        <w:t>3.3.</w:t>
      </w:r>
      <w:r>
        <w:rPr>
          <w:rFonts w:cs="Liberation Serif" w:ascii="Liberation Serif" w:hAnsi="Liberation Serif"/>
          <w:b/>
          <w:color w:val="auto"/>
          <w:sz w:val="26"/>
          <w:szCs w:val="26"/>
        </w:rPr>
        <w:t xml:space="preserve"> </w:t>
      </w:r>
      <w:r>
        <w:rPr>
          <w:rFonts w:cs="Liberation Serif" w:ascii="Liberation Serif" w:hAnsi="Liberation Serif"/>
          <w:color w:val="auto"/>
          <w:sz w:val="26"/>
          <w:szCs w:val="26"/>
        </w:rPr>
        <w:t xml:space="preserve"> Строительство </w:t>
      </w:r>
      <w:r>
        <w:rPr>
          <w:rFonts w:cs="Liberation Serif" w:ascii="Liberation Serif" w:hAnsi="Liberation Serif"/>
          <w:color w:val="000000"/>
          <w:sz w:val="26"/>
          <w:szCs w:val="26"/>
          <w:shd w:fill="FFFFFF" w:val="clear"/>
        </w:rPr>
        <w:t xml:space="preserve">четырех </w:t>
      </w:r>
      <w:r>
        <w:rPr>
          <w:rFonts w:cs="Liberation Serif" w:ascii="Liberation Serif" w:hAnsi="Liberation Serif"/>
          <w:color w:val="auto"/>
          <w:sz w:val="26"/>
          <w:szCs w:val="26"/>
        </w:rPr>
        <w:t>КЛ 10 кВ от РУ 10 кВ ПС 110 кВ Молодёжная до РТП 10 кВ № 1 и четырех КЛ 10 кВ от РУ 1</w:t>
      </w:r>
      <w:r>
        <w:rPr>
          <w:rFonts w:cs="Liberation Serif" w:ascii="Liberation Serif" w:hAnsi="Liberation Serif"/>
          <w:color w:val="000000"/>
          <w:sz w:val="26"/>
          <w:szCs w:val="26"/>
        </w:rPr>
        <w:t>0 кВ ПС 110 кВ Молодёжная до РТП 10 кВ №2:</w:t>
      </w:r>
    </w:p>
    <w:p>
      <w:pPr>
        <w:pStyle w:val="Standard"/>
        <w:spacing w:before="0" w:after="0"/>
        <w:ind w:left="0" w:right="0" w:firstLine="709"/>
        <w:jc w:val="right"/>
        <w:rPr>
          <w:rFonts w:ascii="Liberation Serif" w:hAnsi="Liberation Serif"/>
        </w:rPr>
      </w:pPr>
      <w:r>
        <w:rPr>
          <w:rFonts w:cs="Liberation Serif" w:ascii="Liberation Serif" w:hAnsi="Liberation Serif"/>
          <w:i/>
          <w:color w:val="000000"/>
          <w:sz w:val="20"/>
        </w:rPr>
        <w:t>Таблица 3.</w:t>
      </w:r>
    </w:p>
    <w:tbl>
      <w:tblPr>
        <w:tblW w:w="10249" w:type="dxa"/>
        <w:jc w:val="center"/>
        <w:tblInd w:w="0" w:type="dxa"/>
        <w:tblLayout w:type="fixed"/>
        <w:tblCellMar>
          <w:top w:w="0" w:type="dxa"/>
          <w:left w:w="5" w:type="dxa"/>
          <w:bottom w:w="0" w:type="dxa"/>
          <w:right w:w="42" w:type="dxa"/>
        </w:tblCellMar>
      </w:tblPr>
      <w:tblGrid>
        <w:gridCol w:w="5891"/>
        <w:gridCol w:w="4357"/>
      </w:tblGrid>
      <w:tr>
        <w:trPr>
          <w:tblHeader w:val="true"/>
          <w:trHeight w:val="23" w:hRule="atLeast"/>
        </w:trPr>
        <w:tc>
          <w:tcPr>
            <w:tcW w:w="5891"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jc w:val="both"/>
              <w:rPr>
                <w:rFonts w:ascii="Liberation Serif" w:hAnsi="Liberation Serif"/>
              </w:rPr>
            </w:pPr>
            <w:r>
              <w:rPr>
                <w:rFonts w:cs="Liberation Serif" w:ascii="Liberation Serif" w:hAnsi="Liberation Serif"/>
                <w:b/>
                <w:sz w:val="20"/>
              </w:rPr>
              <w:t>Наименование характеристики</w:t>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vAlign w:val="center"/>
          </w:tcPr>
          <w:p>
            <w:pPr>
              <w:pStyle w:val="Standard"/>
              <w:widowControl w:val="false"/>
              <w:spacing w:before="0" w:after="0"/>
              <w:jc w:val="both"/>
              <w:rPr>
                <w:rFonts w:ascii="Liberation Serif" w:hAnsi="Liberation Serif"/>
              </w:rPr>
            </w:pPr>
            <w:r>
              <w:rPr>
                <w:rFonts w:cs="Liberation Serif" w:ascii="Liberation Serif" w:hAnsi="Liberation Serif"/>
                <w:b/>
                <w:sz w:val="20"/>
              </w:rPr>
              <w:t>Характеристика объекта</w:t>
            </w:r>
          </w:p>
        </w:tc>
      </w:tr>
      <w:tr>
        <w:trPr>
          <w:trHeight w:val="70" w:hRule="atLeast"/>
        </w:trPr>
        <w:tc>
          <w:tcPr>
            <w:tcW w:w="5891"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jc w:val="both"/>
              <w:rPr>
                <w:rFonts w:ascii="Liberation Serif" w:hAnsi="Liberation Serif"/>
              </w:rPr>
            </w:pPr>
            <w:r>
              <w:rPr>
                <w:rFonts w:cs="Liberation Serif" w:ascii="Liberation Serif" w:hAnsi="Liberation Serif"/>
                <w:sz w:val="20"/>
              </w:rPr>
              <w:t>Номинальное напряжение</w:t>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tcPr>
          <w:p>
            <w:pPr>
              <w:pStyle w:val="Standard"/>
              <w:widowControl w:val="false"/>
              <w:spacing w:before="0" w:after="0"/>
              <w:jc w:val="both"/>
              <w:rPr>
                <w:rFonts w:ascii="Liberation Serif" w:hAnsi="Liberation Serif"/>
              </w:rPr>
            </w:pPr>
            <w:r>
              <w:rPr>
                <w:rFonts w:cs="Liberation Serif" w:ascii="Liberation Serif" w:hAnsi="Liberation Serif"/>
                <w:sz w:val="20"/>
              </w:rPr>
              <w:t>10 кВ</w:t>
            </w:r>
          </w:p>
        </w:tc>
      </w:tr>
      <w:tr>
        <w:trPr>
          <w:trHeight w:val="23" w:hRule="atLeast"/>
        </w:trPr>
        <w:tc>
          <w:tcPr>
            <w:tcW w:w="5891"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rPr>
                <w:rFonts w:ascii="Liberation Serif" w:hAnsi="Liberation Serif"/>
              </w:rPr>
            </w:pPr>
            <w:r>
              <w:rPr>
                <w:rFonts w:cs="Liberation Serif" w:ascii="Liberation Serif" w:hAnsi="Liberation Serif"/>
                <w:sz w:val="20"/>
              </w:rPr>
              <w:t>Число часов использования максимума нагрузки</w:t>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tcPr>
          <w:p>
            <w:pPr>
              <w:pStyle w:val="Standard"/>
              <w:widowControl w:val="false"/>
              <w:spacing w:before="0" w:after="0"/>
              <w:rPr>
                <w:rFonts w:ascii="Liberation Serif" w:hAnsi="Liberation Serif"/>
              </w:rPr>
            </w:pPr>
            <w:r>
              <w:rPr>
                <w:rFonts w:cs="Liberation Serif" w:ascii="Liberation Serif" w:hAnsi="Liberation Serif"/>
                <w:sz w:val="20"/>
              </w:rPr>
              <w:t>Определить при проектировании.</w:t>
            </w:r>
          </w:p>
        </w:tc>
      </w:tr>
      <w:tr>
        <w:trPr>
          <w:trHeight w:val="23" w:hRule="atLeast"/>
        </w:trPr>
        <w:tc>
          <w:tcPr>
            <w:tcW w:w="5891"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rPr>
                <w:rFonts w:ascii="Liberation Serif" w:hAnsi="Liberation Serif"/>
              </w:rPr>
            </w:pPr>
            <w:r>
              <w:rPr>
                <w:rFonts w:cs="Liberation Serif" w:ascii="Liberation Serif" w:hAnsi="Liberation Serif"/>
                <w:sz w:val="20"/>
              </w:rPr>
              <w:t>Требования по категорийности и надежности электроснабжения конкретных потребителей</w:t>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tcPr>
          <w:p>
            <w:pPr>
              <w:pStyle w:val="Standard"/>
              <w:widowControl w:val="false"/>
              <w:spacing w:before="0" w:after="0"/>
              <w:rPr>
                <w:rFonts w:ascii="Liberation Serif" w:hAnsi="Liberation Serif"/>
              </w:rPr>
            </w:pPr>
            <w:r>
              <w:rPr>
                <w:rFonts w:cs="Liberation Serif" w:ascii="Liberation Serif" w:hAnsi="Liberation Serif"/>
                <w:sz w:val="20"/>
              </w:rPr>
              <w:t>2</w:t>
            </w:r>
          </w:p>
        </w:tc>
      </w:tr>
      <w:tr>
        <w:trPr>
          <w:trHeight w:val="23" w:hRule="atLeast"/>
        </w:trPr>
        <w:tc>
          <w:tcPr>
            <w:tcW w:w="5891"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rPr>
                <w:rFonts w:ascii="Liberation Serif" w:hAnsi="Liberation Serif"/>
              </w:rPr>
            </w:pPr>
            <w:r>
              <w:rPr>
                <w:rFonts w:cs="Liberation Serif" w:ascii="Liberation Serif" w:hAnsi="Liberation Serif"/>
                <w:sz w:val="20"/>
              </w:rPr>
              <w:t>Количество цепей ВЛ</w:t>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tcPr>
          <w:p>
            <w:pPr>
              <w:pStyle w:val="Standard"/>
              <w:widowControl w:val="false"/>
              <w:spacing w:before="0" w:after="0"/>
              <w:rPr>
                <w:rFonts w:ascii="Liberation Serif" w:hAnsi="Liberation Serif"/>
              </w:rPr>
            </w:pPr>
            <w:r>
              <w:rPr>
                <w:rFonts w:cs="Liberation Serif" w:ascii="Liberation Serif" w:hAnsi="Liberation Serif"/>
                <w:sz w:val="20"/>
              </w:rPr>
              <w:t>Определить при проектировании.</w:t>
            </w:r>
          </w:p>
        </w:tc>
      </w:tr>
      <w:tr>
        <w:trPr>
          <w:trHeight w:val="23" w:hRule="atLeast"/>
        </w:trPr>
        <w:tc>
          <w:tcPr>
            <w:tcW w:w="5891"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rPr>
                <w:rFonts w:ascii="Liberation Serif" w:hAnsi="Liberation Serif"/>
              </w:rPr>
            </w:pPr>
            <w:r>
              <w:rPr>
                <w:rFonts w:cs="Liberation Serif" w:ascii="Liberation Serif" w:hAnsi="Liberation Serif"/>
                <w:sz w:val="20"/>
              </w:rPr>
              <w:t>Передаваемая мощность и электрические нагрузки с учетом перспективы прироста или снижения</w:t>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tcPr>
          <w:p>
            <w:pPr>
              <w:pStyle w:val="Standard"/>
              <w:widowControl w:val="false"/>
              <w:spacing w:before="0" w:after="0"/>
              <w:rPr>
                <w:rFonts w:ascii="Liberation Serif" w:hAnsi="Liberation Serif"/>
              </w:rPr>
            </w:pPr>
            <w:r>
              <w:rPr>
                <w:rFonts w:cs="Liberation Serif" w:ascii="Liberation Serif" w:hAnsi="Liberation Serif"/>
                <w:sz w:val="20"/>
              </w:rPr>
              <w:t>Определить при проектировании.</w:t>
            </w:r>
          </w:p>
        </w:tc>
      </w:tr>
      <w:tr>
        <w:trPr>
          <w:trHeight w:val="23" w:hRule="atLeast"/>
        </w:trPr>
        <w:tc>
          <w:tcPr>
            <w:tcW w:w="5891" w:type="dxa"/>
            <w:tcBorders>
              <w:top w:val="single" w:sz="4" w:space="0" w:color="000001"/>
              <w:left w:val="single" w:sz="4" w:space="0" w:color="000001"/>
              <w:bottom w:val="single" w:sz="4" w:space="0" w:color="000001"/>
            </w:tcBorders>
            <w:shd w:fill="FFFFFF" w:val="clear"/>
          </w:tcPr>
          <w:p>
            <w:pPr>
              <w:pStyle w:val="Standard"/>
              <w:widowControl w:val="false"/>
              <w:spacing w:before="0" w:after="0"/>
              <w:rPr>
                <w:rFonts w:ascii="Liberation Serif" w:hAnsi="Liberation Serif"/>
              </w:rPr>
            </w:pPr>
            <w:r>
              <w:rPr>
                <w:rFonts w:cs="Liberation Serif" w:ascii="Liberation Serif" w:hAnsi="Liberation Serif"/>
                <w:sz w:val="20"/>
              </w:rPr>
              <w:t>РЗ, СА, ПА</w:t>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tcPr>
          <w:p>
            <w:pPr>
              <w:pStyle w:val="Standard"/>
              <w:widowControl w:val="false"/>
              <w:spacing w:before="0" w:after="0"/>
              <w:rPr>
                <w:rFonts w:ascii="Liberation Serif" w:hAnsi="Liberation Serif"/>
              </w:rPr>
            </w:pPr>
            <w:r>
              <w:rPr>
                <w:rFonts w:cs="Liberation Serif" w:ascii="Liberation Serif" w:hAnsi="Liberation Serif"/>
                <w:sz w:val="20"/>
              </w:rPr>
              <w:t>Определить при проектировании.</w:t>
            </w:r>
          </w:p>
        </w:tc>
      </w:tr>
      <w:tr>
        <w:trPr>
          <w:trHeight w:val="273" w:hRule="atLeast"/>
        </w:trPr>
        <w:tc>
          <w:tcPr>
            <w:tcW w:w="5891"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rPr>
                <w:rFonts w:ascii="Liberation Serif" w:hAnsi="Liberation Serif"/>
              </w:rPr>
            </w:pPr>
            <w:r>
              <w:rPr>
                <w:rFonts w:cs="Liberation Serif" w:ascii="Liberation Serif" w:hAnsi="Liberation Serif"/>
                <w:sz w:val="20"/>
              </w:rPr>
              <w:t>Длина трассы</w:t>
            </w:r>
          </w:p>
          <w:p>
            <w:pPr>
              <w:pStyle w:val="19"/>
              <w:widowControl w:val="false"/>
              <w:rPr>
                <w:rFonts w:ascii="Liberation Serif" w:hAnsi="Liberation Serif"/>
              </w:rPr>
            </w:pPr>
            <w:r>
              <w:rPr>
                <w:rFonts w:ascii="Liberation Serif" w:hAnsi="Liberation Serif"/>
              </w:rPr>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tcPr>
          <w:p>
            <w:pPr>
              <w:pStyle w:val="Standard"/>
              <w:widowControl w:val="false"/>
              <w:spacing w:before="0" w:after="0"/>
              <w:rPr>
                <w:rFonts w:ascii="Liberation Serif" w:hAnsi="Liberation Serif"/>
              </w:rPr>
            </w:pPr>
            <w:r>
              <w:rPr>
                <w:rFonts w:cs="Liberation Serif" w:ascii="Liberation Serif" w:hAnsi="Liberation Serif"/>
                <w:sz w:val="20"/>
              </w:rPr>
              <w:t>от РУ 10 кВ ПС 110 кВ Молодежная до РТП-10 кВ №1 ориентировочной протяженностью 2,5 км каждая (уточнить при проектировании)</w:t>
            </w:r>
          </w:p>
          <w:tbl>
            <w:tblPr>
              <w:tblW w:w="4253" w:type="dxa"/>
              <w:jc w:val="center"/>
              <w:tblInd w:w="0" w:type="dxa"/>
              <w:tblLayout w:type="fixed"/>
              <w:tblCellMar>
                <w:top w:w="0" w:type="dxa"/>
                <w:left w:w="5" w:type="dxa"/>
                <w:bottom w:w="0" w:type="dxa"/>
                <w:right w:w="93" w:type="dxa"/>
              </w:tblCellMar>
            </w:tblPr>
            <w:tblGrid>
              <w:gridCol w:w="4253"/>
            </w:tblGrid>
            <w:tr>
              <w:trPr>
                <w:trHeight w:val="273" w:hRule="atLeast"/>
              </w:trPr>
              <w:tc>
                <w:tcPr>
                  <w:tcW w:w="4253" w:type="dxa"/>
                  <w:tcBorders>
                    <w:top w:val="single" w:sz="4" w:space="0" w:color="000001"/>
                    <w:left w:val="single" w:sz="4" w:space="0" w:color="000001"/>
                    <w:bottom w:val="single" w:sz="4" w:space="0" w:color="000001"/>
                    <w:right w:val="single" w:sz="4" w:space="0" w:color="000001"/>
                  </w:tcBorders>
                  <w:shd w:fill="FFFFFF" w:val="clear"/>
                </w:tcPr>
                <w:p>
                  <w:pPr>
                    <w:pStyle w:val="Standard"/>
                    <w:widowControl w:val="false"/>
                    <w:spacing w:before="0" w:after="0"/>
                    <w:rPr>
                      <w:rFonts w:ascii="Liberation Serif" w:hAnsi="Liberation Serif"/>
                    </w:rPr>
                  </w:pPr>
                  <w:r>
                    <w:rPr>
                      <w:rFonts w:cs="Liberation Serif" w:ascii="Liberation Serif" w:hAnsi="Liberation Serif"/>
                      <w:sz w:val="20"/>
                    </w:rPr>
                    <w:t>от РУ 10 кВ ПС 110 кВ Молодежная до РТП 10 кВ №2 ориентировочной протяжённостью 2,7 км каждая (уточнить при проектировании)</w:t>
                  </w:r>
                </w:p>
              </w:tc>
            </w:tr>
          </w:tbl>
          <w:p>
            <w:pPr>
              <w:pStyle w:val="19"/>
              <w:widowControl w:val="false"/>
              <w:rPr>
                <w:rFonts w:ascii="Liberation Serif" w:hAnsi="Liberation Serif"/>
              </w:rPr>
            </w:pPr>
            <w:r>
              <w:rPr>
                <w:rFonts w:ascii="Liberation Serif" w:hAnsi="Liberation Serif"/>
              </w:rPr>
            </w:r>
          </w:p>
        </w:tc>
      </w:tr>
      <w:tr>
        <w:trPr>
          <w:trHeight w:val="23" w:hRule="atLeast"/>
        </w:trPr>
        <w:tc>
          <w:tcPr>
            <w:tcW w:w="5891"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rPr>
                <w:rFonts w:ascii="Liberation Serif" w:hAnsi="Liberation Serif"/>
              </w:rPr>
            </w:pPr>
            <w:r>
              <w:rPr>
                <w:rFonts w:cs="Liberation Serif" w:ascii="Liberation Serif" w:hAnsi="Liberation Serif"/>
                <w:sz w:val="20"/>
              </w:rPr>
              <w:t>Наличие переходов через естественные и искусственные преграды</w:t>
            </w:r>
          </w:p>
          <w:p>
            <w:pPr>
              <w:pStyle w:val="19"/>
              <w:widowControl w:val="false"/>
              <w:rPr>
                <w:rFonts w:ascii="Liberation Serif" w:hAnsi="Liberation Serif"/>
              </w:rPr>
            </w:pPr>
            <w:r>
              <w:rPr>
                <w:rFonts w:ascii="Liberation Serif" w:hAnsi="Liberation Serif"/>
              </w:rPr>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tcPr>
          <w:p>
            <w:pPr>
              <w:pStyle w:val="Standard"/>
              <w:widowControl w:val="false"/>
              <w:spacing w:before="0" w:after="0"/>
              <w:rPr>
                <w:rFonts w:ascii="Liberation Serif" w:hAnsi="Liberation Serif"/>
              </w:rPr>
            </w:pPr>
            <w:r>
              <w:rPr>
                <w:rFonts w:cs="Liberation Serif" w:ascii="Liberation Serif" w:hAnsi="Liberation Serif"/>
                <w:sz w:val="20"/>
              </w:rPr>
              <w:t>А/д, ЛЭП, трубопроводы и другие препятствия (уточнить при проектировании)</w:t>
            </w:r>
          </w:p>
        </w:tc>
      </w:tr>
      <w:tr>
        <w:trPr>
          <w:trHeight w:val="70" w:hRule="atLeast"/>
        </w:trPr>
        <w:tc>
          <w:tcPr>
            <w:tcW w:w="5891"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rPr>
                <w:rFonts w:ascii="Liberation Serif" w:hAnsi="Liberation Serif"/>
              </w:rPr>
            </w:pPr>
            <w:r>
              <w:rPr>
                <w:rFonts w:cs="Liberation Serif" w:ascii="Liberation Serif" w:hAnsi="Liberation Serif"/>
                <w:sz w:val="20"/>
              </w:rPr>
              <w:t>Технико-экономическое обоснование варианта схемы сетей 10 кВ</w:t>
            </w:r>
          </w:p>
          <w:p>
            <w:pPr>
              <w:pStyle w:val="19"/>
              <w:widowControl w:val="false"/>
              <w:rPr>
                <w:rFonts w:ascii="Liberation Serif" w:hAnsi="Liberation Serif"/>
              </w:rPr>
            </w:pPr>
            <w:r>
              <w:rPr>
                <w:rFonts w:ascii="Liberation Serif" w:hAnsi="Liberation Serif"/>
              </w:rPr>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tcPr>
          <w:p>
            <w:pPr>
              <w:pStyle w:val="Standard"/>
              <w:widowControl w:val="false"/>
              <w:spacing w:before="0" w:after="0"/>
              <w:rPr>
                <w:rFonts w:ascii="Liberation Serif" w:hAnsi="Liberation Serif"/>
              </w:rPr>
            </w:pPr>
            <w:r>
              <w:rPr>
                <w:rFonts w:cs="Liberation Serif" w:ascii="Liberation Serif" w:hAnsi="Liberation Serif"/>
                <w:sz w:val="20"/>
              </w:rPr>
              <w:t>Определить при проектировании.</w:t>
            </w:r>
          </w:p>
        </w:tc>
      </w:tr>
      <w:tr>
        <w:trPr>
          <w:trHeight w:val="23" w:hRule="atLeast"/>
        </w:trPr>
        <w:tc>
          <w:tcPr>
            <w:tcW w:w="5891"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rPr>
                <w:rFonts w:ascii="Liberation Serif" w:hAnsi="Liberation Serif"/>
              </w:rPr>
            </w:pPr>
            <w:r>
              <w:rPr>
                <w:rFonts w:cs="Liberation Serif" w:ascii="Liberation Serif" w:hAnsi="Liberation Serif"/>
                <w:sz w:val="20"/>
              </w:rPr>
              <w:t>Разделение производственной нагрузки от бытовой на отдельные фидеры</w:t>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tcPr>
          <w:p>
            <w:pPr>
              <w:pStyle w:val="Standard"/>
              <w:widowControl w:val="false"/>
              <w:spacing w:before="0" w:after="0"/>
              <w:rPr>
                <w:rFonts w:ascii="Liberation Serif" w:hAnsi="Liberation Serif"/>
              </w:rPr>
            </w:pPr>
            <w:r>
              <w:rPr>
                <w:rFonts w:cs="Liberation Serif" w:ascii="Liberation Serif" w:hAnsi="Liberation Serif"/>
                <w:sz w:val="20"/>
              </w:rPr>
              <w:t>Определить при проектировании.</w:t>
            </w:r>
          </w:p>
        </w:tc>
      </w:tr>
      <w:tr>
        <w:trPr>
          <w:trHeight w:val="23" w:hRule="atLeast"/>
        </w:trPr>
        <w:tc>
          <w:tcPr>
            <w:tcW w:w="5891"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rPr>
                <w:rFonts w:ascii="Liberation Serif" w:hAnsi="Liberation Serif"/>
              </w:rPr>
            </w:pPr>
            <w:r>
              <w:rPr>
                <w:rFonts w:cs="Liberation Serif" w:ascii="Liberation Serif" w:hAnsi="Liberation Serif"/>
                <w:color w:val="000000"/>
                <w:sz w:val="20"/>
              </w:rPr>
              <w:t>Мероприятия по компенсации реактивной мощности</w:t>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tcPr>
          <w:p>
            <w:pPr>
              <w:pStyle w:val="Standard"/>
              <w:widowControl w:val="false"/>
              <w:spacing w:before="0" w:after="0"/>
              <w:rPr>
                <w:rFonts w:ascii="Liberation Serif" w:hAnsi="Liberation Serif"/>
              </w:rPr>
            </w:pPr>
            <w:r>
              <w:rPr>
                <w:rFonts w:cs="Liberation Serif" w:ascii="Liberation Serif" w:hAnsi="Liberation Serif"/>
                <w:color w:val="000000"/>
                <w:sz w:val="20"/>
              </w:rPr>
              <w:t>Определить при проектировании.</w:t>
            </w:r>
          </w:p>
        </w:tc>
      </w:tr>
      <w:tr>
        <w:trPr>
          <w:trHeight w:val="23" w:hRule="atLeast"/>
        </w:trPr>
        <w:tc>
          <w:tcPr>
            <w:tcW w:w="5891"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rPr>
                <w:rFonts w:ascii="Liberation Serif" w:hAnsi="Liberation Serif"/>
              </w:rPr>
            </w:pPr>
            <w:r>
              <w:rPr>
                <w:rFonts w:cs="Liberation Serif" w:ascii="Liberation Serif" w:hAnsi="Liberation Serif"/>
                <w:color w:val="000000"/>
                <w:sz w:val="20"/>
              </w:rPr>
              <w:t>Вид</w:t>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tcPr>
          <w:p>
            <w:pPr>
              <w:pStyle w:val="Standard"/>
              <w:widowControl w:val="false"/>
              <w:spacing w:before="0" w:after="0"/>
              <w:rPr>
                <w:rFonts w:ascii="Liberation Serif" w:hAnsi="Liberation Serif"/>
              </w:rPr>
            </w:pPr>
            <w:r>
              <w:rPr>
                <w:rFonts w:cs="Liberation Serif" w:ascii="Liberation Serif" w:hAnsi="Liberation Serif"/>
                <w:color w:val="000000"/>
                <w:sz w:val="20"/>
              </w:rPr>
              <w:t>Новое строительство</w:t>
            </w:r>
          </w:p>
        </w:tc>
      </w:tr>
      <w:tr>
        <w:trPr>
          <w:trHeight w:val="23" w:hRule="atLeast"/>
        </w:trPr>
        <w:tc>
          <w:tcPr>
            <w:tcW w:w="5891" w:type="dxa"/>
            <w:tcBorders>
              <w:top w:val="single" w:sz="4" w:space="0" w:color="000001"/>
              <w:left w:val="single" w:sz="4" w:space="0" w:color="000001"/>
              <w:bottom w:val="single" w:sz="4" w:space="0" w:color="000001"/>
            </w:tcBorders>
            <w:shd w:fill="FFFFFF" w:val="clear"/>
            <w:vAlign w:val="center"/>
          </w:tcPr>
          <w:p>
            <w:pPr>
              <w:pStyle w:val="Standard"/>
              <w:widowControl w:val="false"/>
              <w:spacing w:before="0" w:after="0"/>
              <w:rPr>
                <w:rFonts w:ascii="Liberation Serif" w:hAnsi="Liberation Serif"/>
              </w:rPr>
            </w:pPr>
            <w:r>
              <w:rPr>
                <w:rFonts w:cs="Liberation Serif" w:ascii="Liberation Serif" w:hAnsi="Liberation Serif"/>
                <w:color w:val="000000"/>
                <w:sz w:val="20"/>
              </w:rPr>
              <w:t>Количество строящихся объектов:</w:t>
            </w:r>
          </w:p>
        </w:tc>
        <w:tc>
          <w:tcPr>
            <w:tcW w:w="4357" w:type="dxa"/>
            <w:tcBorders>
              <w:top w:val="single" w:sz="4" w:space="0" w:color="000001"/>
              <w:left w:val="single" w:sz="4" w:space="0" w:color="000001"/>
              <w:bottom w:val="single" w:sz="4" w:space="0" w:color="000001"/>
              <w:right w:val="single" w:sz="4" w:space="0" w:color="000001"/>
            </w:tcBorders>
            <w:shd w:fill="FFFFFF" w:val="clear"/>
            <w:tcMar>
              <w:right w:w="108" w:type="dxa"/>
            </w:tcMar>
          </w:tcPr>
          <w:p>
            <w:pPr>
              <w:pStyle w:val="Standard"/>
              <w:widowControl w:val="false"/>
              <w:spacing w:before="0" w:after="0"/>
              <w:rPr>
                <w:rFonts w:ascii="Liberation Serif" w:hAnsi="Liberation Serif"/>
              </w:rPr>
            </w:pPr>
            <w:r>
              <w:rPr>
                <w:rFonts w:cs="Liberation Serif" w:ascii="Liberation Serif" w:hAnsi="Liberation Serif"/>
                <w:color w:val="000000"/>
                <w:sz w:val="20"/>
              </w:rPr>
              <w:t>8</w:t>
            </w:r>
          </w:p>
        </w:tc>
      </w:tr>
    </w:tbl>
    <w:p>
      <w:pPr>
        <w:pStyle w:val="112"/>
        <w:tabs>
          <w:tab w:val="clear" w:pos="709"/>
          <w:tab w:val="left" w:pos="1370" w:leader="none"/>
        </w:tabs>
        <w:ind w:left="0" w:right="0" w:firstLine="709"/>
        <w:jc w:val="both"/>
        <w:rPr>
          <w:sz w:val="26"/>
          <w:szCs w:val="26"/>
        </w:rPr>
      </w:pPr>
      <w:r>
        <w:rPr>
          <w:rFonts w:cs="Liberation Serif" w:ascii="Liberation Serif" w:hAnsi="Liberation Serif"/>
          <w:i/>
          <w:sz w:val="26"/>
          <w:szCs w:val="26"/>
        </w:rPr>
        <w:t>При присвоении диспетчерских наименований следует руководствоваться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pPr>
        <w:pStyle w:val="112"/>
        <w:tabs>
          <w:tab w:val="clear" w:pos="709"/>
          <w:tab w:val="left" w:pos="1370" w:leader="none"/>
        </w:tabs>
        <w:ind w:left="0" w:right="0" w:firstLine="709"/>
        <w:jc w:val="both"/>
        <w:rPr>
          <w:rFonts w:ascii="Liberation Serif" w:hAnsi="Liberation Serif" w:cs="Liberation Serif"/>
          <w:i/>
          <w:i/>
          <w:sz w:val="26"/>
          <w:szCs w:val="26"/>
        </w:rPr>
      </w:pPr>
      <w:r>
        <w:rPr>
          <w:rFonts w:cs="Liberation Serif" w:ascii="Liberation Serif" w:hAnsi="Liberation Serif"/>
          <w:i/>
          <w:sz w:val="26"/>
          <w:szCs w:val="26"/>
        </w:rPr>
      </w:r>
    </w:p>
    <w:p>
      <w:pPr>
        <w:pStyle w:val="Standard"/>
        <w:ind w:left="0" w:right="0" w:firstLine="709"/>
        <w:jc w:val="both"/>
        <w:rPr>
          <w:rFonts w:ascii="Liberation Serif" w:hAnsi="Liberation Serif"/>
          <w:sz w:val="26"/>
          <w:szCs w:val="26"/>
        </w:rPr>
      </w:pPr>
      <w:r>
        <w:rPr>
          <w:rFonts w:cs="Liberation Serif" w:ascii="Liberation Serif" w:hAnsi="Liberation Serif"/>
          <w:b/>
          <w:sz w:val="26"/>
          <w:szCs w:val="26"/>
        </w:rPr>
        <w:t xml:space="preserve">4. </w:t>
      </w:r>
      <w:r>
        <w:rPr>
          <w:rFonts w:cs="Liberation Serif" w:ascii="Liberation Serif" w:hAnsi="Liberation Serif"/>
          <w:b/>
          <w:color w:val="000000"/>
          <w:sz w:val="26"/>
          <w:szCs w:val="26"/>
        </w:rPr>
        <w:t>Этапы разработки документации:</w:t>
      </w:r>
    </w:p>
    <w:p>
      <w:pPr>
        <w:pStyle w:val="Standard"/>
        <w:spacing w:before="0" w:after="0"/>
        <w:ind w:left="0" w:right="0" w:firstLine="720"/>
        <w:jc w:val="both"/>
        <w:rPr>
          <w:rFonts w:ascii="Liberation Serif" w:hAnsi="Liberation Serif"/>
          <w:sz w:val="26"/>
          <w:szCs w:val="26"/>
        </w:rPr>
      </w:pPr>
      <w:r>
        <w:rPr>
          <w:rFonts w:cs="Liberation Serif" w:ascii="Liberation Serif" w:hAnsi="Liberation Serif"/>
          <w:color w:val="000000"/>
          <w:sz w:val="26"/>
          <w:szCs w:val="26"/>
        </w:rPr>
        <w:t>При проектировании необходимо руководствоваться инвестиционными проектами, работами и программами актуальными на момент начала подготовки документации, в том числе не указанными в данном пункте, с которыми требуется координация решений проектной документации, разрабатываемой по данному техническому заданию «</w:t>
      </w:r>
      <w:r>
        <w:rPr>
          <w:rFonts w:cs="Liberation Serif" w:ascii="Liberation Serif" w:hAnsi="Liberation Serif"/>
          <w:i/>
          <w:color w:val="000000"/>
          <w:sz w:val="26"/>
          <w:szCs w:val="26"/>
        </w:rPr>
        <w:t>ОКПД2 41.10.10.000 Выполнение проектно-изыскательских работ «Строительство ПС 110 кВ Молодежная. Строительство ответвительной ЛЭП 110 кВ от КВЛ 110 кВ Благовещенская – Центральная № 1 с отпайками до ПС 110 кВ Молодежная с образованием КВЛ 110 кВ Благовещенская – Центральная № 1 с отпайками, строительство ответвительной ЛЭП 110 кВ от КВЛ 110 кВ Благовещенская – Центральная № 2 с отпайкой на ПС Северная до ПС 110 кВ Молодежная  с образованием КВЛ 110 кВ Благовещенская – Центральная № 2 с отпайками.  Строительство КЛ 10 кВ от РУ 10 кВ ПС 110 кВ Молодёжная до РТП 10 кВ № 1 и КЛ 10 кВ от РУ 10 кВ ПС 110 кВ Молодёжная до РТП 10 кВ №2» (заявитель ООО «Специализированный застройщик «ПИК Благовещенск» (договор ТПр от 13.08.2025 № 3802/24-ТП-630) в рамках инвестиционного проекта Q_28-АЭС-6082-Ц».</w:t>
      </w:r>
    </w:p>
    <w:p>
      <w:pPr>
        <w:pStyle w:val="Standard"/>
        <w:spacing w:before="0" w:after="0"/>
        <w:ind w:left="0" w:right="0" w:firstLine="720"/>
        <w:jc w:val="both"/>
        <w:rPr>
          <w:rFonts w:ascii="Liberation Serif" w:hAnsi="Liberation Serif" w:cs="Liberation Serif"/>
          <w:i/>
          <w:i/>
          <w:color w:val="000000"/>
          <w:sz w:val="26"/>
          <w:szCs w:val="26"/>
        </w:rPr>
      </w:pPr>
      <w:r>
        <w:rPr>
          <w:rFonts w:cs="Liberation Serif" w:ascii="Liberation Serif" w:hAnsi="Liberation Serif"/>
          <w:i/>
          <w:color w:val="000000"/>
          <w:sz w:val="26"/>
          <w:szCs w:val="26"/>
        </w:rPr>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b/>
          <w:i/>
          <w:color w:val="000000"/>
          <w:sz w:val="26"/>
          <w:szCs w:val="26"/>
        </w:rPr>
        <w:t>I-й этап:</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b/>
          <w:i/>
          <w:color w:val="000000"/>
          <w:sz w:val="26"/>
          <w:szCs w:val="26"/>
        </w:rPr>
        <w:t>4.1. Инженерные изыскания. Основные технические решения.</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4.1.1. Перед началом выполнения работ подготовить и согласовать с Заказчиком Задание на проведение изысканий.</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4.1.2. Инженерные изыскания для проектирования объекта следует выполнять в соответствии с требованиями действующих технических регламентов и сводов правил по видам инженерных изысканий:</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4.1.3. Выполнить комплекс инженерных изысканий необходимых для подготовки проектной документации объектов капитального строительства, в том числе:</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 </w:t>
      </w:r>
      <w:r>
        <w:rPr>
          <w:rFonts w:cs="Liberation Serif" w:ascii="Liberation Serif" w:hAnsi="Liberation Serif"/>
          <w:color w:val="000000"/>
          <w:sz w:val="26"/>
          <w:szCs w:val="26"/>
        </w:rPr>
        <w:t>инженерно-геодезические изыскания;</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 </w:t>
      </w:r>
      <w:r>
        <w:rPr>
          <w:rFonts w:cs="Liberation Serif" w:ascii="Liberation Serif" w:hAnsi="Liberation Serif"/>
          <w:color w:val="000000"/>
          <w:sz w:val="26"/>
          <w:szCs w:val="26"/>
        </w:rPr>
        <w:t>инженерно-геологические изыскания:</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 </w:t>
      </w:r>
      <w:r>
        <w:rPr>
          <w:rFonts w:cs="Liberation Serif" w:ascii="Liberation Serif" w:hAnsi="Liberation Serif"/>
          <w:color w:val="000000"/>
          <w:sz w:val="26"/>
          <w:szCs w:val="26"/>
        </w:rPr>
        <w:t>инженерно-метеорологические изыскания;</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 </w:t>
      </w:r>
      <w:r>
        <w:rPr>
          <w:rFonts w:cs="Liberation Serif" w:ascii="Liberation Serif" w:hAnsi="Liberation Serif"/>
          <w:color w:val="000000"/>
          <w:sz w:val="26"/>
          <w:szCs w:val="26"/>
        </w:rPr>
        <w:t>инженерно-экологические изыскания в объеме, необходимом для разработки и обоснования проектных решений;</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4.1.4. Подготовить программу инженерных изысканий, устанавливающую состав и объем инженерных изысканий и метод их выполнения. Представить Программу инженерных изысканий Заказчику для утверждения в срок не менее чем за 10 рабочих дней, до начала работ по выполнению инженерных изысканий.</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4.1.5. Результаты инженерных изысканий должны отвечать установленным требованиям и оформляться в виде технического отчета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4.1.6. Получить технические условия специализированных организаций и балансодержателей</w:t>
      </w:r>
      <w:r>
        <w:rPr>
          <w:rFonts w:cs="Liberation Serif" w:ascii="Liberation Serif" w:hAnsi="Liberation Serif"/>
          <w:color w:val="auto"/>
          <w:sz w:val="26"/>
          <w:szCs w:val="26"/>
        </w:rPr>
        <w:t xml:space="preserve"> инженерных сетей и коммуникаций, необходимых для проведения работ по разработке проектно-сметной документации.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auto"/>
          <w:sz w:val="26"/>
          <w:szCs w:val="26"/>
        </w:rPr>
        <w:t>4.1.7. Результаты инженерных изысканий использовать для подготовки документации по планировке территории и проектной документации.</w:t>
      </w:r>
    </w:p>
    <w:p>
      <w:pPr>
        <w:pStyle w:val="Standard"/>
        <w:spacing w:before="0" w:after="0"/>
        <w:ind w:left="0" w:right="0" w:firstLine="709"/>
        <w:jc w:val="both"/>
        <w:rPr>
          <w:rFonts w:ascii="Liberation Serif" w:hAnsi="Liberation Serif" w:cs="Liberation Serif"/>
          <w:color w:val="auto"/>
          <w:sz w:val="26"/>
          <w:szCs w:val="26"/>
        </w:rPr>
      </w:pPr>
      <w:r>
        <w:rPr>
          <w:rFonts w:cs="Liberation Serif" w:ascii="Liberation Serif" w:hAnsi="Liberation Serif"/>
          <w:color w:val="auto"/>
          <w:sz w:val="26"/>
          <w:szCs w:val="26"/>
        </w:rPr>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b/>
          <w:i/>
          <w:color w:val="auto"/>
          <w:sz w:val="26"/>
          <w:szCs w:val="26"/>
        </w:rPr>
        <w:t>4.2.</w:t>
      </w:r>
      <w:r>
        <w:rPr>
          <w:rFonts w:cs="Liberation Serif" w:ascii="Liberation Serif" w:hAnsi="Liberation Serif"/>
          <w:color w:val="auto"/>
          <w:sz w:val="26"/>
          <w:szCs w:val="26"/>
        </w:rPr>
        <w:t xml:space="preserve"> </w:t>
      </w:r>
      <w:r>
        <w:rPr>
          <w:rFonts w:cs="Liberation Serif" w:ascii="Liberation Serif" w:hAnsi="Liberation Serif"/>
          <w:b/>
          <w:color w:val="auto"/>
          <w:sz w:val="26"/>
          <w:szCs w:val="26"/>
        </w:rPr>
        <w:t>Основные технические решения по ПС и ЛЭП.</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auto"/>
          <w:sz w:val="26"/>
          <w:szCs w:val="26"/>
        </w:rPr>
        <w:t>В составе ОТР обосновать и выполнить в соответствии с Приложением 1,2,3 к настоящему заданию на проектирование:</w:t>
      </w:r>
    </w:p>
    <w:p>
      <w:pPr>
        <w:pStyle w:val="Standard"/>
        <w:spacing w:before="0" w:after="0"/>
        <w:ind w:left="0" w:right="0" w:firstLine="709"/>
        <w:rPr>
          <w:rFonts w:ascii="Liberation Serif" w:hAnsi="Liberation Serif"/>
          <w:sz w:val="26"/>
          <w:szCs w:val="26"/>
        </w:rPr>
      </w:pPr>
      <w:r>
        <w:rPr>
          <w:rFonts w:cs="Liberation Serif" w:ascii="Liberation Serif" w:hAnsi="Liberation Serif"/>
          <w:color w:val="000000"/>
          <w:sz w:val="26"/>
          <w:szCs w:val="26"/>
        </w:rPr>
        <w:t>4.2.1. Предпроектные обследования: сбор исходных данных, в объеме, необходимом для проектирования Объектов из разных источников, в том числе, но не ограничиваясь:</w:t>
      </w:r>
    </w:p>
    <w:p>
      <w:pPr>
        <w:pStyle w:val="Standard"/>
        <w:tabs>
          <w:tab w:val="clear" w:pos="709"/>
          <w:tab w:val="left" w:pos="566"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ab/>
        <w:t xml:space="preserve">4.2.1.1. ЕГРН в  виде выписки из ЕГРН на объект недвижимости, копии документа, на основании которого внесены сведения в государственный кадастр недвижимости, кадастровые выписки, кадастровые планы территории; </w:t>
      </w:r>
    </w:p>
    <w:p>
      <w:pPr>
        <w:pStyle w:val="Standard"/>
        <w:tabs>
          <w:tab w:val="clear" w:pos="709"/>
          <w:tab w:val="left" w:pos="566"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ab/>
        <w:t>4.2.1.2. В уполномоченных органах государственной власти и органах местного самоуправления, заверенных в установленном законом порядке сведений о наличии прав третьих лиц в месте предполагаемого формирования земельного участка:</w:t>
      </w:r>
    </w:p>
    <w:p>
      <w:pPr>
        <w:pStyle w:val="Standard"/>
        <w:ind w:left="0" w:right="0" w:firstLine="709"/>
        <w:jc w:val="both"/>
        <w:rPr>
          <w:rFonts w:ascii="Liberation Serif" w:hAnsi="Liberation Serif"/>
          <w:sz w:val="26"/>
          <w:szCs w:val="26"/>
        </w:rPr>
      </w:pPr>
      <w:r>
        <w:rPr>
          <w:rFonts w:cs="Liberation Serif" w:ascii="Liberation Serif" w:hAnsi="Liberation Serif"/>
          <w:color w:val="000000"/>
          <w:sz w:val="26"/>
          <w:szCs w:val="26"/>
        </w:rPr>
        <w:t>- копии правоустанавливающих документов;</w:t>
      </w:r>
    </w:p>
    <w:p>
      <w:pPr>
        <w:pStyle w:val="Standard"/>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 сведения из Единого государственного реестра юридических лиц, в случае если правообладателем того или иного земельного участка является юридическое лицо; </w:t>
      </w:r>
    </w:p>
    <w:p>
      <w:pPr>
        <w:pStyle w:val="Standard"/>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 архивные копии документов (выписок из них), ответы органов местного самоуправления, государственных органов, организаций и граждан; </w:t>
      </w:r>
    </w:p>
    <w:p>
      <w:pPr>
        <w:pStyle w:val="Standard"/>
        <w:tabs>
          <w:tab w:val="clear" w:pos="709"/>
          <w:tab w:val="left" w:pos="566"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 правоподтверждающие документы (свидетельства, государственные акты, договоры аренды и иные).</w:t>
      </w:r>
    </w:p>
    <w:p>
      <w:pPr>
        <w:pStyle w:val="Standard"/>
        <w:tabs>
          <w:tab w:val="clear" w:pos="709"/>
          <w:tab w:val="left" w:pos="566"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ab/>
        <w:t>4.2.1.3. Выявление прав третьих лиц, а также ограничений (обременений) на земельный участок (его часть) /земельные участки, расположенные на территории, на которой предполагается размещение ОКС на объекты недвижимости, расположенные на такой территории, а также определе</w:t>
      </w:r>
      <w:r>
        <w:rPr>
          <w:rFonts w:cs="Liberation Serif" w:ascii="Liberation Serif" w:hAnsi="Liberation Serif"/>
          <w:color w:val="auto"/>
          <w:sz w:val="26"/>
          <w:szCs w:val="26"/>
        </w:rPr>
        <w:t>ние наличия на указанной территории зон с особыми условиями использования, объектов лесного и (или) водного фондов, береговые полосы, водоохранные зоны, полезных ископаемых в недрах и т. д. (приложение № 6, 8 к настоящему заданию на проектирование).</w:t>
      </w:r>
    </w:p>
    <w:p>
      <w:pPr>
        <w:pStyle w:val="Standard"/>
        <w:tabs>
          <w:tab w:val="clear" w:pos="709"/>
          <w:tab w:val="left" w:pos="566" w:leader="none"/>
        </w:tabs>
        <w:spacing w:before="0" w:after="0"/>
        <w:jc w:val="both"/>
        <w:rPr>
          <w:rFonts w:ascii="Liberation Serif" w:hAnsi="Liberation Serif"/>
          <w:sz w:val="26"/>
          <w:szCs w:val="26"/>
        </w:rPr>
      </w:pPr>
      <w:r>
        <w:rPr>
          <w:rFonts w:cs="Liberation Serif" w:ascii="Liberation Serif" w:hAnsi="Liberation Serif"/>
          <w:color w:val="auto"/>
          <w:sz w:val="26"/>
          <w:szCs w:val="26"/>
        </w:rPr>
        <w:tab/>
        <w:t>4.2.1.4. Разработать варианты размещения ЛЭП, ПС (ПП) (не менее двух):</w:t>
      </w:r>
    </w:p>
    <w:p>
      <w:pPr>
        <w:pStyle w:val="Standard"/>
        <w:jc w:val="both"/>
        <w:rPr>
          <w:rFonts w:ascii="Liberation Serif" w:hAnsi="Liberation Serif"/>
          <w:sz w:val="26"/>
          <w:szCs w:val="26"/>
        </w:rPr>
      </w:pPr>
      <w:r>
        <w:rPr>
          <w:rFonts w:cs="Liberation Serif" w:ascii="Liberation Serif" w:hAnsi="Liberation Serif"/>
          <w:color w:val="auto"/>
          <w:sz w:val="26"/>
          <w:szCs w:val="26"/>
        </w:rPr>
        <w:tab/>
        <w:t>а) планировать расположение объекта с максимальным его размещением на землях и земельных участках, находящихся в государственной и муниципальной собственности, свободных от прав третьих лиц, с наименьшим количеством наложений на земельные участки третьих лиц;</w:t>
      </w:r>
    </w:p>
    <w:p>
      <w:pPr>
        <w:pStyle w:val="Standard"/>
        <w:tabs>
          <w:tab w:val="clear" w:pos="709"/>
          <w:tab w:val="left" w:pos="566" w:leader="none"/>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color w:val="auto"/>
          <w:sz w:val="26"/>
          <w:szCs w:val="26"/>
        </w:rPr>
        <w:t>б) исключить либо минимизировать наложения на земельные участки, находящиеся в ведении Министерства обороны Российской Федерации;</w:t>
      </w:r>
    </w:p>
    <w:p>
      <w:pPr>
        <w:pStyle w:val="Standard"/>
        <w:tabs>
          <w:tab w:val="clear" w:pos="709"/>
          <w:tab w:val="left" w:pos="566" w:leader="none"/>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color w:val="auto"/>
          <w:sz w:val="26"/>
          <w:szCs w:val="26"/>
        </w:rPr>
        <w:t>в) исключить или минимизировать площадь вырубки леса, памятники историко-культурного наследия, особо охраняемые территории.</w:t>
      </w:r>
    </w:p>
    <w:p>
      <w:pPr>
        <w:pStyle w:val="Standard"/>
        <w:tabs>
          <w:tab w:val="clear" w:pos="709"/>
          <w:tab w:val="left" w:pos="566" w:leader="none"/>
          <w:tab w:val="left" w:pos="1078" w:leader="none"/>
        </w:tabs>
        <w:spacing w:before="0" w:after="0"/>
        <w:ind w:left="0" w:right="0" w:firstLine="567"/>
        <w:jc w:val="both"/>
        <w:rPr>
          <w:rFonts w:ascii="Liberation Serif" w:hAnsi="Liberation Serif"/>
          <w:sz w:val="26"/>
          <w:szCs w:val="26"/>
        </w:rPr>
      </w:pPr>
      <w:r>
        <w:rPr>
          <w:rFonts w:cs="Liberation Serif" w:ascii="Liberation Serif" w:hAnsi="Liberation Serif"/>
          <w:color w:val="auto"/>
          <w:sz w:val="26"/>
          <w:szCs w:val="26"/>
        </w:rPr>
        <w:t>4.2.1.5. Варианты места размещения ЛЭП, ПС отразить в графических материалах и в таблице по форме Приложения 5  в разрезе кажд</w:t>
      </w:r>
      <w:r>
        <w:rPr>
          <w:rFonts w:cs="Liberation Serif" w:ascii="Liberation Serif" w:hAnsi="Liberation Serif"/>
          <w:color w:val="000000"/>
          <w:sz w:val="26"/>
          <w:szCs w:val="26"/>
        </w:rPr>
        <w:t xml:space="preserve">ого объекта (ЛЭП, ПС) отдельно, с указанием информации о протяженности, площади, количестве пересечений с инфраструктурными, социальными, природными и режимными объектами, количестве земельных участков, требующихся для размещения объектов проектирования, стоимости объектов проектирования, включая размер платы, связанный с использованием земельных участков, и иное. </w:t>
      </w:r>
    </w:p>
    <w:p>
      <w:pPr>
        <w:pStyle w:val="124"/>
        <w:tabs>
          <w:tab w:val="clear" w:pos="709"/>
          <w:tab w:val="left" w:pos="566" w:leader="none"/>
          <w:tab w:val="left" w:pos="6020" w:leader="none"/>
        </w:tabs>
        <w:ind w:left="0" w:right="0" w:firstLine="567"/>
        <w:jc w:val="both"/>
        <w:rPr>
          <w:rFonts w:ascii="Liberation Serif" w:hAnsi="Liberation Serif"/>
          <w:sz w:val="26"/>
          <w:szCs w:val="26"/>
        </w:rPr>
      </w:pPr>
      <w:r>
        <w:rPr>
          <w:rFonts w:cs="Liberation Serif" w:ascii="Liberation Serif" w:hAnsi="Liberation Serif"/>
          <w:color w:val="000000"/>
          <w:sz w:val="26"/>
          <w:szCs w:val="26"/>
        </w:rPr>
        <w:t>Наиболее оптимальный вариант размещения ПС или ЛЭП отражает в выводах с указанием их местоположения.</w:t>
      </w:r>
    </w:p>
    <w:p>
      <w:pPr>
        <w:pStyle w:val="313"/>
        <w:tabs>
          <w:tab w:val="clear" w:pos="709"/>
          <w:tab w:val="left" w:pos="566" w:leader="none"/>
        </w:tabs>
        <w:jc w:val="both"/>
        <w:rPr>
          <w:rFonts w:ascii="Liberation Serif" w:hAnsi="Liberation Serif"/>
          <w:sz w:val="26"/>
          <w:szCs w:val="26"/>
        </w:rPr>
      </w:pPr>
      <w:r>
        <w:rPr>
          <w:rFonts w:cs="Liberation Serif" w:ascii="Liberation Serif" w:hAnsi="Liberation Serif"/>
          <w:color w:val="000000"/>
          <w:sz w:val="26"/>
          <w:szCs w:val="26"/>
        </w:rPr>
        <w:tab/>
        <w:t>4.2.1.6. Графические материалы выполнить с учетом следующих требований:</w:t>
      </w:r>
    </w:p>
    <w:p>
      <w:pPr>
        <w:pStyle w:val="124"/>
        <w:numPr>
          <w:ilvl w:val="5"/>
          <w:numId w:val="1"/>
        </w:numPr>
        <w:tabs>
          <w:tab w:val="clear" w:pos="709"/>
          <w:tab w:val="left" w:pos="566" w:leader="none"/>
          <w:tab w:val="left" w:pos="849" w:leader="none"/>
        </w:tabs>
        <w:ind w:left="0" w:right="0" w:firstLine="567"/>
        <w:jc w:val="both"/>
        <w:rPr>
          <w:rFonts w:ascii="Liberation Serif" w:hAnsi="Liberation Serif"/>
          <w:sz w:val="26"/>
          <w:szCs w:val="26"/>
        </w:rPr>
      </w:pPr>
      <w:r>
        <w:rPr>
          <w:rFonts w:cs="Liberation Serif" w:ascii="Liberation Serif" w:hAnsi="Liberation Serif"/>
          <w:color w:val="000000"/>
          <w:sz w:val="26"/>
          <w:szCs w:val="26"/>
        </w:rPr>
        <w:t>- чертежи разрабатываются для всех Объектов (ЛЭП, ПС, подъездная а/дорога, ВОЛС, переустройство иных собственников, и иное) с выделением зон строительства/ реконструкции/демонтажа;</w:t>
      </w:r>
    </w:p>
    <w:p>
      <w:pPr>
        <w:pStyle w:val="124"/>
        <w:tabs>
          <w:tab w:val="clear" w:pos="709"/>
          <w:tab w:val="left" w:pos="566" w:leader="none"/>
          <w:tab w:val="left" w:pos="849" w:leader="none"/>
        </w:tabs>
        <w:ind w:left="0" w:right="0" w:firstLine="567"/>
        <w:jc w:val="both"/>
        <w:rPr>
          <w:rFonts w:ascii="Liberation Serif" w:hAnsi="Liberation Serif"/>
          <w:sz w:val="26"/>
          <w:szCs w:val="26"/>
        </w:rPr>
      </w:pPr>
      <w:r>
        <w:rPr>
          <w:rFonts w:cs="Liberation Serif" w:ascii="Liberation Serif" w:hAnsi="Liberation Serif"/>
          <w:color w:val="000000"/>
          <w:sz w:val="26"/>
          <w:szCs w:val="26"/>
        </w:rPr>
        <w:t>- планируемые границы полосы отвода (для строительства/реконструкции/ демонтажа) отражаются разными обозначениями (цвет и/или штриховка (клетка, полоса, кружок и т.д.) для каждого Объекта;</w:t>
      </w:r>
    </w:p>
    <w:p>
      <w:pPr>
        <w:pStyle w:val="124"/>
        <w:tabs>
          <w:tab w:val="clear" w:pos="709"/>
          <w:tab w:val="left" w:pos="566" w:leader="none"/>
          <w:tab w:val="left" w:pos="849" w:leader="none"/>
        </w:tabs>
        <w:ind w:left="0" w:right="0" w:firstLine="567"/>
        <w:jc w:val="both"/>
        <w:rPr>
          <w:rFonts w:ascii="Liberation Serif" w:hAnsi="Liberation Serif"/>
          <w:sz w:val="26"/>
          <w:szCs w:val="26"/>
        </w:rPr>
      </w:pPr>
      <w:r>
        <w:rPr>
          <w:rFonts w:cs="Liberation Serif" w:ascii="Liberation Serif" w:hAnsi="Liberation Serif"/>
          <w:color w:val="000000"/>
          <w:sz w:val="26"/>
          <w:szCs w:val="26"/>
        </w:rPr>
        <w:t>- на чертежах отображаются границы зон планируемого размещения проектируемого ОКС, а также существующие Объекты с нанесением границ существующих земельных участков, учтенных в ЕГРН, в границах зоны планируемого размещения проектируемого ОКС, с указанием форм собственности таких земельных участков и информации о необходимости изъятия таких земельных участков для государственных и муниципальных нужд;</w:t>
      </w:r>
    </w:p>
    <w:p>
      <w:pPr>
        <w:pStyle w:val="124"/>
        <w:tabs>
          <w:tab w:val="clear" w:pos="709"/>
          <w:tab w:val="left" w:pos="566" w:leader="none"/>
          <w:tab w:val="left" w:pos="849" w:leader="none"/>
        </w:tabs>
        <w:ind w:left="0" w:right="0" w:firstLine="567"/>
        <w:jc w:val="both"/>
        <w:rPr>
          <w:rFonts w:ascii="Liberation Serif" w:hAnsi="Liberation Serif"/>
          <w:sz w:val="26"/>
          <w:szCs w:val="26"/>
        </w:rPr>
      </w:pPr>
      <w:r>
        <w:rPr>
          <w:rFonts w:cs="Liberation Serif" w:ascii="Liberation Serif" w:hAnsi="Liberation Serif"/>
          <w:color w:val="000000"/>
          <w:sz w:val="26"/>
          <w:szCs w:val="26"/>
        </w:rPr>
        <w:t>- на чертежах отображаются наименования проектируемых и существующих Объектов, наименования субъекта, населенных пунктов, наименования лесничества и участковых лесничества, а также наименования всех пересекаемых инфраструктурных, водных и иных объектов;</w:t>
      </w:r>
    </w:p>
    <w:p>
      <w:pPr>
        <w:pStyle w:val="124"/>
        <w:tabs>
          <w:tab w:val="clear" w:pos="709"/>
          <w:tab w:val="left" w:pos="566" w:leader="none"/>
          <w:tab w:val="left" w:pos="849" w:leader="none"/>
        </w:tabs>
        <w:ind w:left="0" w:right="0" w:firstLine="567"/>
        <w:jc w:val="both"/>
        <w:rPr>
          <w:rFonts w:ascii="Liberation Serif" w:hAnsi="Liberation Serif"/>
          <w:sz w:val="26"/>
          <w:szCs w:val="26"/>
        </w:rPr>
      </w:pPr>
      <w:r>
        <w:rPr>
          <w:rFonts w:cs="Liberation Serif" w:ascii="Liberation Serif" w:hAnsi="Liberation Serif"/>
          <w:color w:val="000000"/>
          <w:sz w:val="26"/>
          <w:szCs w:val="26"/>
        </w:rPr>
        <w:t>- в условных обозначениях отражается вся информация, указанная на чертеже (границы строительства, реконструкции, демонтажа и монтажа опор, существующая и проектируемая ось трассы, иные границы, зоны, кварталы, объекты);</w:t>
      </w:r>
    </w:p>
    <w:p>
      <w:pPr>
        <w:pStyle w:val="124"/>
        <w:tabs>
          <w:tab w:val="clear" w:pos="709"/>
          <w:tab w:val="left" w:pos="566" w:leader="none"/>
          <w:tab w:val="left" w:pos="849" w:leader="none"/>
        </w:tabs>
        <w:ind w:left="0" w:right="0" w:firstLine="567"/>
        <w:jc w:val="both"/>
        <w:rPr>
          <w:rFonts w:ascii="Liberation Serif" w:hAnsi="Liberation Serif"/>
          <w:sz w:val="26"/>
          <w:szCs w:val="26"/>
        </w:rPr>
      </w:pPr>
      <w:r>
        <w:rPr>
          <w:rFonts w:cs="Liberation Serif" w:ascii="Liberation Serif" w:hAnsi="Liberation Serif"/>
          <w:color w:val="000000"/>
          <w:sz w:val="26"/>
          <w:szCs w:val="26"/>
        </w:rPr>
        <w:t xml:space="preserve">- графические материалы выполняются в масштабе 1:500 до 1:5000, обеспечивающем их читаемость; </w:t>
      </w:r>
    </w:p>
    <w:p>
      <w:pPr>
        <w:pStyle w:val="124"/>
        <w:tabs>
          <w:tab w:val="clear" w:pos="709"/>
          <w:tab w:val="left" w:pos="566" w:leader="none"/>
          <w:tab w:val="left" w:pos="849" w:leader="none"/>
        </w:tabs>
        <w:ind w:left="0" w:right="0" w:hanging="0"/>
        <w:jc w:val="both"/>
        <w:rPr>
          <w:rFonts w:ascii="Liberation Serif" w:hAnsi="Liberation Serif"/>
          <w:sz w:val="26"/>
          <w:szCs w:val="26"/>
        </w:rPr>
      </w:pPr>
      <w:r>
        <w:rPr>
          <w:rFonts w:cs="Liberation Serif" w:ascii="Liberation Serif" w:hAnsi="Liberation Serif"/>
          <w:color w:val="000000"/>
          <w:sz w:val="26"/>
          <w:szCs w:val="26"/>
        </w:rPr>
        <w:t>- при наличии Объектов, подлежащих реконструкции в связи с изменением их местоположения, на чертежах отражается их реконструкция.</w:t>
      </w:r>
    </w:p>
    <w:p>
      <w:pPr>
        <w:pStyle w:val="313"/>
        <w:tabs>
          <w:tab w:val="clear" w:pos="709"/>
          <w:tab w:val="left" w:pos="566" w:leader="none"/>
        </w:tabs>
        <w:jc w:val="both"/>
        <w:rPr>
          <w:rFonts w:ascii="Liberation Serif" w:hAnsi="Liberation Serif"/>
          <w:sz w:val="26"/>
          <w:szCs w:val="26"/>
        </w:rPr>
      </w:pPr>
      <w:r>
        <w:rPr>
          <w:rFonts w:cs="Liberation Serif" w:ascii="Liberation Serif" w:hAnsi="Liberation Serif"/>
          <w:color w:val="000000"/>
          <w:sz w:val="26"/>
          <w:szCs w:val="26"/>
        </w:rPr>
        <w:tab/>
        <w:t>4.2.1.7. Для реконструируемых ЛЭП разработать структурную схему электроснабжения до и после реконструкции (при необходимости).</w:t>
      </w:r>
    </w:p>
    <w:p>
      <w:pPr>
        <w:pStyle w:val="124"/>
        <w:tabs>
          <w:tab w:val="left" w:pos="566" w:leader="none"/>
          <w:tab w:val="left" w:pos="709" w:leader="none"/>
        </w:tabs>
        <w:ind w:left="0" w:right="0" w:firstLine="567"/>
        <w:jc w:val="both"/>
        <w:rPr>
          <w:rFonts w:ascii="Liberation Serif" w:hAnsi="Liberation Serif"/>
          <w:sz w:val="26"/>
          <w:szCs w:val="26"/>
        </w:rPr>
      </w:pPr>
      <w:r>
        <w:rPr>
          <w:rFonts w:cs="Liberation Serif" w:ascii="Liberation Serif" w:hAnsi="Liberation Serif"/>
          <w:color w:val="000000"/>
          <w:sz w:val="26"/>
          <w:szCs w:val="26"/>
        </w:rPr>
        <w:t>4.2.1.8. Выполнить расчет площади земельных участков для размещения Объекта проектирования, с учетом следующих требований:</w:t>
      </w:r>
    </w:p>
    <w:p>
      <w:pPr>
        <w:pStyle w:val="124"/>
        <w:tabs>
          <w:tab w:val="clear" w:pos="709"/>
          <w:tab w:val="left" w:pos="566" w:leader="none"/>
          <w:tab w:val="left" w:pos="849" w:leader="none"/>
        </w:tabs>
        <w:ind w:left="0" w:right="0" w:firstLine="567"/>
        <w:jc w:val="both"/>
        <w:rPr>
          <w:rFonts w:ascii="Liberation Serif" w:hAnsi="Liberation Serif"/>
          <w:sz w:val="26"/>
          <w:szCs w:val="26"/>
        </w:rPr>
      </w:pPr>
      <w:r>
        <w:rPr>
          <w:rFonts w:cs="Liberation Serif" w:ascii="Liberation Serif" w:hAnsi="Liberation Serif"/>
          <w:color w:val="000000"/>
          <w:sz w:val="26"/>
          <w:szCs w:val="26"/>
        </w:rPr>
        <w:t>- ширина полосы отвода должна соответствовать нормам отвода земель. В расчете площади земельных участков для размещения ЛЭП указать ширину полосы отвода для земельных участков, покрытых и непокрытых лесными насаждениями.</w:t>
      </w:r>
    </w:p>
    <w:p>
      <w:pPr>
        <w:pStyle w:val="124"/>
        <w:tabs>
          <w:tab w:val="clear" w:pos="709"/>
          <w:tab w:val="left" w:pos="566" w:leader="none"/>
          <w:tab w:val="left" w:pos="849" w:leader="none"/>
        </w:tabs>
        <w:ind w:left="0" w:right="0" w:firstLine="567"/>
        <w:jc w:val="both"/>
        <w:rPr>
          <w:rFonts w:ascii="Liberation Serif" w:hAnsi="Liberation Serif"/>
          <w:sz w:val="26"/>
          <w:szCs w:val="26"/>
        </w:rPr>
      </w:pPr>
      <w:r>
        <w:rPr>
          <w:rFonts w:cs="Liberation Serif" w:ascii="Liberation Serif" w:hAnsi="Liberation Serif"/>
          <w:color w:val="000000"/>
          <w:sz w:val="26"/>
          <w:szCs w:val="26"/>
        </w:rPr>
        <w:t>- при реконструкции Объектов, включая ВОЛС, размещении временных строений и сооружений преимущественно используется существующую охранную зону и незалесенные участки;</w:t>
      </w:r>
    </w:p>
    <w:p>
      <w:pPr>
        <w:pStyle w:val="124"/>
        <w:tabs>
          <w:tab w:val="clear" w:pos="709"/>
          <w:tab w:val="left" w:pos="849" w:leader="none"/>
        </w:tabs>
        <w:ind w:left="0" w:right="0" w:firstLine="567"/>
        <w:jc w:val="both"/>
        <w:rPr>
          <w:rFonts w:ascii="Liberation Serif" w:hAnsi="Liberation Serif"/>
          <w:sz w:val="26"/>
          <w:szCs w:val="26"/>
        </w:rPr>
      </w:pPr>
      <w:r>
        <w:rPr>
          <w:rFonts w:cs="Liberation Serif" w:ascii="Liberation Serif" w:hAnsi="Liberation Serif"/>
          <w:color w:val="000000"/>
          <w:sz w:val="26"/>
          <w:szCs w:val="26"/>
        </w:rPr>
        <w:t>- земельные участки, необходимые для обеспечения деятельности подрядной организации, осуществляющей строительные работы (временные сооружения, включая временный поселок строителя и т.д.), в землеотвод для размещения Объекта не включаются.</w:t>
      </w:r>
    </w:p>
    <w:p>
      <w:pPr>
        <w:pStyle w:val="313"/>
        <w:tabs>
          <w:tab w:val="clear" w:pos="709"/>
          <w:tab w:val="left" w:pos="566" w:leader="none"/>
        </w:tabs>
        <w:jc w:val="both"/>
        <w:rPr>
          <w:rFonts w:ascii="Liberation Serif" w:hAnsi="Liberation Serif"/>
          <w:sz w:val="26"/>
          <w:szCs w:val="26"/>
        </w:rPr>
      </w:pPr>
      <w:r>
        <w:rPr>
          <w:rFonts w:cs="Liberation Serif" w:ascii="Liberation Serif" w:hAnsi="Liberation Serif"/>
          <w:color w:val="000000"/>
          <w:sz w:val="26"/>
          <w:szCs w:val="26"/>
        </w:rPr>
        <w:tab/>
        <w:t>4.2.1.9. Согласовать место размещения Объекта проектирования с уполномоченными органами, правообладателями земельных участков с получением условий об использовании земельных участков.</w:t>
      </w:r>
    </w:p>
    <w:p>
      <w:pPr>
        <w:pStyle w:val="313"/>
        <w:tabs>
          <w:tab w:val="clear" w:pos="709"/>
          <w:tab w:val="left" w:pos="566" w:leader="none"/>
        </w:tabs>
        <w:jc w:val="both"/>
        <w:rPr>
          <w:rFonts w:ascii="Liberation Serif" w:hAnsi="Liberation Serif"/>
          <w:sz w:val="26"/>
          <w:szCs w:val="26"/>
        </w:rPr>
      </w:pPr>
      <w:r>
        <w:rPr>
          <w:rFonts w:cs="Liberation Serif" w:ascii="Liberation Serif" w:hAnsi="Liberation Serif"/>
          <w:color w:val="000000"/>
          <w:sz w:val="26"/>
          <w:szCs w:val="26"/>
        </w:rPr>
        <w:tab/>
        <w:t>4.2.1.10. Получить технические условия собственников объектов инфраструктуры по их переустройству (при необходимости).</w:t>
      </w:r>
    </w:p>
    <w:p>
      <w:pPr>
        <w:pStyle w:val="313"/>
        <w:tabs>
          <w:tab w:val="clear" w:pos="709"/>
          <w:tab w:val="left" w:pos="566" w:leader="none"/>
        </w:tabs>
        <w:jc w:val="both"/>
        <w:rPr>
          <w:rFonts w:ascii="Liberation Serif" w:hAnsi="Liberation Serif"/>
          <w:sz w:val="26"/>
          <w:szCs w:val="26"/>
        </w:rPr>
      </w:pPr>
      <w:r>
        <w:rPr>
          <w:rFonts w:cs="Liberation Serif" w:ascii="Liberation Serif" w:hAnsi="Liberation Serif"/>
          <w:color w:val="000000"/>
          <w:sz w:val="26"/>
          <w:szCs w:val="26"/>
        </w:rPr>
        <w:tab/>
        <w:t>4.2.1.11. Предоставить полный перечень строящихся и реконструируемых Объектов капитального строительства (здания, сооружения) с указанием их основных параметров.</w:t>
      </w:r>
    </w:p>
    <w:p>
      <w:pPr>
        <w:pStyle w:val="Style25"/>
        <w:ind w:left="0" w:right="0" w:firstLine="567"/>
        <w:jc w:val="both"/>
        <w:rPr>
          <w:rFonts w:ascii="Liberation Serif" w:hAnsi="Liberation Serif"/>
          <w:sz w:val="26"/>
          <w:szCs w:val="26"/>
        </w:rPr>
      </w:pPr>
      <w:r>
        <w:rPr>
          <w:rFonts w:cs="Liberation Serif" w:ascii="Liberation Serif" w:hAnsi="Liberation Serif"/>
          <w:sz w:val="26"/>
          <w:szCs w:val="26"/>
        </w:rPr>
        <w:t>4.2.1.12. По выбранному</w:t>
      </w:r>
      <w:r>
        <w:rPr>
          <w:rFonts w:cs="Liberation Serif" w:ascii="Liberation Serif" w:hAnsi="Liberation Serif"/>
          <w:color w:val="auto"/>
          <w:sz w:val="26"/>
          <w:szCs w:val="26"/>
        </w:rPr>
        <w:t xml:space="preserve"> варианту места размещения Объекта разработать Экспликацию земельных участков по форме Приложения 6 к настоящему Заданию в разрезе каждого проектируемого сооружения с указанием: основных характеристик земельного участка (категория, местоположение, кадастровый номер и кадастровая стоимость, разрешенное использование, правообладатель и иное), способа образования земельного участка, способа оформления права пользования, требуемой площади для строительства, эксплуатации, рекультивации, лесовосстановления и иное. </w:t>
      </w:r>
    </w:p>
    <w:p>
      <w:pPr>
        <w:pStyle w:val="124"/>
        <w:tabs>
          <w:tab w:val="clear" w:pos="709"/>
          <w:tab w:val="left" w:pos="566" w:leader="none"/>
        </w:tabs>
        <w:ind w:left="0" w:right="0" w:firstLine="567"/>
        <w:jc w:val="both"/>
        <w:rPr>
          <w:rFonts w:ascii="Liberation Serif" w:hAnsi="Liberation Serif"/>
          <w:sz w:val="26"/>
          <w:szCs w:val="26"/>
        </w:rPr>
      </w:pPr>
      <w:r>
        <w:rPr>
          <w:rFonts w:cs="Liberation Serif" w:ascii="Liberation Serif" w:hAnsi="Liberation Serif"/>
          <w:color w:val="auto"/>
          <w:sz w:val="26"/>
          <w:szCs w:val="26"/>
        </w:rPr>
        <w:t>Контур земельного участка формируется для конкретного сооружения исходя из кадастрового деления (квартал/земельный участок) и правообладателя земельного участка.</w:t>
      </w:r>
    </w:p>
    <w:p>
      <w:pPr>
        <w:pStyle w:val="124"/>
        <w:tabs>
          <w:tab w:val="clear" w:pos="709"/>
          <w:tab w:val="left" w:pos="566" w:leader="none"/>
        </w:tabs>
        <w:ind w:left="0" w:right="0" w:firstLine="567"/>
        <w:jc w:val="both"/>
        <w:rPr>
          <w:rFonts w:ascii="Liberation Serif" w:hAnsi="Liberation Serif"/>
          <w:sz w:val="26"/>
          <w:szCs w:val="26"/>
        </w:rPr>
      </w:pPr>
      <w:r>
        <w:rPr>
          <w:rFonts w:cs="Liberation Serif" w:ascii="Liberation Serif" w:hAnsi="Liberation Serif"/>
          <w:color w:val="auto"/>
          <w:sz w:val="26"/>
          <w:szCs w:val="26"/>
        </w:rPr>
        <w:t>4.2.1.13. Информацию об объемах лесных насаждениях, подлежащих вырубке с привязкой к земельному участку, о рекультивации оформить по форме Приложения 7 к настоящему заданию на проектирование. Данная информация должна соответствовать информации Приложения 6</w:t>
      </w:r>
      <w:r>
        <w:rPr>
          <w:rFonts w:cs="Liberation Serif" w:ascii="Liberation Serif" w:hAnsi="Liberation Serif"/>
          <w:b/>
          <w:color w:val="auto"/>
          <w:sz w:val="26"/>
          <w:szCs w:val="26"/>
        </w:rPr>
        <w:t xml:space="preserve"> </w:t>
      </w:r>
      <w:r>
        <w:rPr>
          <w:rFonts w:cs="Liberation Serif" w:ascii="Liberation Serif" w:hAnsi="Liberation Serif"/>
          <w:color w:val="000000"/>
          <w:sz w:val="26"/>
          <w:szCs w:val="26"/>
        </w:rPr>
        <w:t xml:space="preserve"> «Экспликации земельных участков».</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4.2.1.14. Выполнить расчет емкостных токов замыкания на землю в прилегающей к ПС 110 кВ Молодежная электрической сети 10 кВ. В случае превышения допустимых значений емкостного тока необходимо выполнить разработку мероприятий по их компенсации и выбор компенсирующих устройств.</w:t>
      </w:r>
    </w:p>
    <w:p>
      <w:pPr>
        <w:pStyle w:val="Standard"/>
        <w:spacing w:before="0" w:after="0"/>
        <w:ind w:left="0" w:right="0" w:firstLine="709"/>
        <w:jc w:val="both"/>
        <w:rPr>
          <w:color w:val="auto"/>
        </w:rPr>
      </w:pPr>
      <w:r>
        <w:rPr>
          <w:rFonts w:cs="Liberation Serif" w:ascii="Liberation Serif" w:hAnsi="Liberation Serif"/>
          <w:color w:val="auto"/>
          <w:sz w:val="26"/>
          <w:szCs w:val="26"/>
        </w:rPr>
        <w:t>4.2.1.15. Разработать и согласовать с заказчиком основные технические решения по объекту в целом, в том числе с главной электрической схемой, типами основного применяемого оборудования, расчетными моделями, с обязательным учётом требований Технической политики Группы РусГидро</w:t>
      </w:r>
    </w:p>
    <w:p>
      <w:pPr>
        <w:pStyle w:val="Standard"/>
        <w:spacing w:before="0" w:after="0"/>
        <w:ind w:left="0" w:right="0" w:firstLine="709"/>
        <w:jc w:val="both"/>
        <w:rPr>
          <w:color w:val="auto"/>
        </w:rPr>
      </w:pPr>
      <w:r>
        <w:rPr>
          <w:rFonts w:cs="Liberation Serif" w:ascii="Liberation Serif" w:hAnsi="Liberation Serif"/>
          <w:color w:val="auto"/>
          <w:sz w:val="26"/>
          <w:szCs w:val="26"/>
        </w:rPr>
        <w:t>1). РЗА с серией стандартов МЭК 61850,</w:t>
      </w:r>
    </w:p>
    <w:p>
      <w:pPr>
        <w:pStyle w:val="Standard"/>
        <w:spacing w:before="0" w:after="0"/>
        <w:ind w:left="0" w:right="0" w:firstLine="709"/>
        <w:jc w:val="both"/>
        <w:rPr>
          <w:color w:val="auto"/>
        </w:rPr>
      </w:pPr>
      <w:r>
        <w:rPr>
          <w:rFonts w:cs="Liberation Serif" w:ascii="Liberation Serif" w:hAnsi="Liberation Serif"/>
          <w:color w:val="auto"/>
          <w:sz w:val="26"/>
          <w:szCs w:val="26"/>
        </w:rPr>
        <w:t>2). ССПИ с серией стандартов МЭК 104 и МЭК 61850.</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i/>
          <w:color w:val="000000"/>
          <w:sz w:val="26"/>
          <w:szCs w:val="26"/>
          <w:lang w:val="en-US"/>
        </w:rPr>
        <w:t>I</w:t>
      </w:r>
      <w:r>
        <w:rPr>
          <w:rFonts w:cs="Liberation Serif" w:ascii="Liberation Serif" w:hAnsi="Liberation Serif"/>
          <w:i/>
          <w:color w:val="000000"/>
          <w:sz w:val="26"/>
          <w:szCs w:val="26"/>
        </w:rPr>
        <w:t xml:space="preserve"> этап считается выполненным после согласования Заказчиком, Филиалом АО «СО ЕЭС» Амурское РДУ (далее – Амурское РДУ) основных технических решений и результатов инженерных изысканий (с Заказчиком). </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i/>
          <w:color w:val="000000"/>
          <w:sz w:val="26"/>
          <w:szCs w:val="26"/>
        </w:rPr>
        <w:t>Cрок выполнения: в течение 3-х месяцев с момента заключения договора.</w:t>
      </w:r>
    </w:p>
    <w:p>
      <w:pPr>
        <w:pStyle w:val="Standard"/>
        <w:spacing w:before="0" w:after="0"/>
        <w:ind w:left="0" w:right="0" w:firstLine="709"/>
        <w:jc w:val="both"/>
        <w:rPr>
          <w:rFonts w:ascii="Liberation Serif" w:hAnsi="Liberation Serif" w:cs="Liberation Serif"/>
          <w:color w:val="000000"/>
          <w:sz w:val="26"/>
          <w:szCs w:val="26"/>
        </w:rPr>
      </w:pPr>
      <w:r>
        <w:rPr>
          <w:rFonts w:cs="Liberation Serif" w:ascii="Liberation Serif" w:hAnsi="Liberation Serif"/>
          <w:color w:val="000000"/>
          <w:sz w:val="26"/>
          <w:szCs w:val="26"/>
        </w:rPr>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b/>
          <w:i/>
          <w:color w:val="000000"/>
          <w:sz w:val="26"/>
          <w:szCs w:val="26"/>
        </w:rPr>
        <w:t>4.3. II этап – Подготовка документации по планировке территории (ДПТ).</w:t>
      </w:r>
    </w:p>
    <w:p>
      <w:pPr>
        <w:pStyle w:val="Standard"/>
        <w:ind w:left="0" w:right="0" w:firstLine="709"/>
        <w:jc w:val="both"/>
        <w:rPr>
          <w:rFonts w:ascii="Liberation Serif" w:hAnsi="Liberation Serif"/>
          <w:sz w:val="26"/>
          <w:szCs w:val="26"/>
        </w:rPr>
      </w:pPr>
      <w:r>
        <w:rPr>
          <w:rFonts w:cs="Liberation Serif" w:ascii="Liberation Serif" w:hAnsi="Liberation Serif"/>
          <w:color w:val="000000"/>
          <w:sz w:val="26"/>
          <w:szCs w:val="26"/>
        </w:rPr>
        <w:t>4.3.1. Подготовить документацию по планировке территории для объектов, указанных в п.3.1, 3.2., в соответствии с материалами и результатами инженерных изысканий, указанных в п. 4.1 настоящих Задания, в виде проекта планировки территории и проекта межевания территории.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4.3.2. Документацию по планировке территории подготовить в объеме и составе Задания на разработку документации по план</w:t>
      </w:r>
      <w:r>
        <w:rPr>
          <w:rFonts w:cs="Liberation Serif" w:ascii="Liberation Serif" w:hAnsi="Liberation Serif"/>
          <w:color w:val="auto"/>
          <w:sz w:val="26"/>
          <w:szCs w:val="26"/>
        </w:rPr>
        <w:t xml:space="preserve">ировке территории (приложение № 10 </w:t>
      </w:r>
      <w:r>
        <w:rPr>
          <w:rFonts w:cs="Liberation Serif" w:ascii="Liberation Serif" w:hAnsi="Liberation Serif"/>
          <w:color w:val="000000"/>
          <w:sz w:val="26"/>
          <w:szCs w:val="26"/>
        </w:rPr>
        <w:t>к настоящему Заданию).</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4.3.3. Обеспечить согласование и утверждение документации по планировке территории в уполномоченном органе власти, в порядке, установленном градостроительным законодательством.</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i/>
          <w:color w:val="000000"/>
          <w:sz w:val="26"/>
          <w:szCs w:val="26"/>
          <w:lang w:val="en-US"/>
        </w:rPr>
        <w:t>II</w:t>
      </w:r>
      <w:r>
        <w:rPr>
          <w:rFonts w:cs="Liberation Serif" w:ascii="Liberation Serif" w:hAnsi="Liberation Serif"/>
          <w:i/>
          <w:color w:val="000000"/>
          <w:sz w:val="26"/>
          <w:szCs w:val="26"/>
        </w:rPr>
        <w:t xml:space="preserve"> этап считается выполненным с даты решения об утверждении документации по планировке территории уполномоченным органом власти.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i/>
          <w:color w:val="000000"/>
          <w:sz w:val="26"/>
          <w:szCs w:val="26"/>
        </w:rPr>
        <w:t>Cрок выполнения: в течение 6-х месяцев с момента заключения договора.</w:t>
      </w:r>
    </w:p>
    <w:p>
      <w:pPr>
        <w:pStyle w:val="Standard"/>
        <w:spacing w:before="0" w:after="0"/>
        <w:ind w:left="0" w:right="0" w:firstLine="709"/>
        <w:jc w:val="both"/>
        <w:rPr>
          <w:rFonts w:ascii="Liberation Serif" w:hAnsi="Liberation Serif" w:cs="Liberation Serif"/>
          <w:color w:val="000000"/>
          <w:sz w:val="26"/>
          <w:szCs w:val="26"/>
        </w:rPr>
      </w:pPr>
      <w:r>
        <w:rPr>
          <w:rFonts w:cs="Liberation Serif" w:ascii="Liberation Serif" w:hAnsi="Liberation Serif"/>
          <w:color w:val="000000"/>
          <w:sz w:val="26"/>
          <w:szCs w:val="26"/>
        </w:rPr>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b/>
          <w:i/>
          <w:color w:val="000000"/>
          <w:sz w:val="26"/>
          <w:szCs w:val="26"/>
        </w:rPr>
        <w:t xml:space="preserve">4.4. III этап - Разработка и согласование с АО «ДРСК», </w:t>
      </w:r>
      <w:r>
        <w:rPr>
          <w:rFonts w:cs="Liberation Serif" w:ascii="Liberation Serif" w:hAnsi="Liberation Serif"/>
          <w:b/>
          <w:bCs/>
          <w:color w:val="000000"/>
          <w:sz w:val="26"/>
          <w:szCs w:val="26"/>
        </w:rPr>
        <w:t>Амурским РДУ</w:t>
      </w:r>
      <w:r>
        <w:rPr>
          <w:rFonts w:cs="Liberation Serif" w:ascii="Liberation Serif" w:hAnsi="Liberation Serif"/>
          <w:b/>
          <w:i/>
          <w:color w:val="000000"/>
          <w:sz w:val="26"/>
          <w:szCs w:val="26"/>
        </w:rPr>
        <w:t xml:space="preserve"> проектно-сметной документации: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Разработка, согласование с Заказчиком, Амурским РДУ проектно-сметной</w:t>
      </w:r>
      <w:r>
        <w:rPr>
          <w:rFonts w:cs="Liberation Serif" w:ascii="Liberation Serif" w:hAnsi="Liberation Serif"/>
          <w:color w:val="FF0000"/>
          <w:sz w:val="26"/>
          <w:szCs w:val="26"/>
        </w:rPr>
        <w:t xml:space="preserve"> </w:t>
      </w:r>
      <w:r>
        <w:rPr>
          <w:rFonts w:cs="Liberation Serif" w:ascii="Liberation Serif" w:hAnsi="Liberation Serif"/>
          <w:color w:val="000000"/>
          <w:sz w:val="26"/>
          <w:szCs w:val="26"/>
        </w:rPr>
        <w:t>документации (ПД), (в течение 9-ти месяцев с момента заключения договора на проектирование):</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4.4.1. Разработать и выдать проектную документацию в объеме, достаточном для прохождения госэкспертизы, организации закупок подрядных работ и оборудования, разработки рабочей документации (при необходимости предусмотреть обоснование и согласование с Заказчиком основных технических решений по объекту в более ранний срок).</w:t>
      </w:r>
    </w:p>
    <w:p>
      <w:pPr>
        <w:pStyle w:val="Standard"/>
        <w:spacing w:before="0" w:after="0"/>
        <w:ind w:left="0" w:right="0" w:firstLine="720"/>
        <w:jc w:val="both"/>
        <w:rPr>
          <w:rFonts w:ascii="Liberation Serif" w:hAnsi="Liberation Serif"/>
          <w:sz w:val="26"/>
          <w:szCs w:val="26"/>
        </w:rPr>
      </w:pPr>
      <w:r>
        <w:rPr>
          <w:rFonts w:cs="Liberation Serif" w:ascii="Liberation Serif" w:hAnsi="Liberation Serif"/>
          <w:color w:val="000000"/>
          <w:sz w:val="26"/>
          <w:szCs w:val="26"/>
        </w:rPr>
        <w:t>При этом выполнить</w:t>
      </w:r>
      <w:r>
        <w:rPr>
          <w:rFonts w:cs="Liberation Serif" w:ascii="Liberation Serif" w:hAnsi="Liberation Serif"/>
          <w:b/>
          <w:color w:val="000000"/>
          <w:sz w:val="26"/>
          <w:szCs w:val="26"/>
        </w:rPr>
        <w:t>:</w:t>
      </w:r>
    </w:p>
    <w:p>
      <w:pPr>
        <w:pStyle w:val="Standard"/>
        <w:spacing w:before="0" w:after="0"/>
        <w:ind w:left="0" w:right="0" w:firstLine="720"/>
        <w:jc w:val="both"/>
        <w:rPr>
          <w:rFonts w:ascii="Liberation Serif" w:hAnsi="Liberation Serif"/>
          <w:sz w:val="26"/>
          <w:szCs w:val="26"/>
        </w:rPr>
      </w:pPr>
      <w:r>
        <w:rPr>
          <w:rFonts w:cs="Liberation Serif" w:ascii="Liberation Serif" w:hAnsi="Liberation Serif"/>
          <w:color w:val="000000"/>
          <w:sz w:val="26"/>
          <w:szCs w:val="26"/>
        </w:rPr>
        <w:t>4.4.2. В случае отсутствия схемных проработок по обоснованию и присоединению к энергосистеме проектируемого объекта выполнить их и утвердить в составе данного этапа. При этом выполнить:</w:t>
      </w:r>
    </w:p>
    <w:p>
      <w:pPr>
        <w:pStyle w:val="Standard"/>
        <w:numPr>
          <w:ilvl w:val="0"/>
          <w:numId w:val="3"/>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формирование вариантов электрической связи нового объекта с энергосистемой;</w:t>
      </w:r>
    </w:p>
    <w:p>
      <w:pPr>
        <w:pStyle w:val="Standard"/>
        <w:numPr>
          <w:ilvl w:val="0"/>
          <w:numId w:val="3"/>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расчет стоимостных показателей, вариантов схем присоединения объекта к энергосистеме и выбор рекомендуемого варианта.</w:t>
      </w:r>
    </w:p>
    <w:p>
      <w:pPr>
        <w:pStyle w:val="Standard"/>
        <w:tabs>
          <w:tab w:val="clear" w:pos="709"/>
          <w:tab w:val="left" w:pos="993" w:leader="none"/>
        </w:tabs>
        <w:spacing w:before="0" w:after="0"/>
        <w:ind w:left="0" w:right="0" w:firstLine="709"/>
        <w:jc w:val="both"/>
        <w:rPr>
          <w:rFonts w:ascii="Liberation Serif" w:hAnsi="Liberation Serif" w:cs="Liberation Serif"/>
          <w:color w:val="000000"/>
          <w:sz w:val="26"/>
          <w:szCs w:val="26"/>
        </w:rPr>
      </w:pPr>
      <w:r>
        <w:rPr>
          <w:rFonts w:cs="Liberation Serif" w:ascii="Liberation Serif" w:hAnsi="Liberation Serif"/>
          <w:color w:val="000000"/>
          <w:sz w:val="26"/>
          <w:szCs w:val="26"/>
        </w:rPr>
      </w:r>
    </w:p>
    <w:p>
      <w:pPr>
        <w:pStyle w:val="Standard"/>
        <w:tabs>
          <w:tab w:val="clear" w:pos="709"/>
          <w:tab w:val="left" w:pos="5071" w:leader="none"/>
        </w:tabs>
        <w:spacing w:before="0" w:after="0"/>
        <w:ind w:left="680" w:right="0" w:firstLine="29"/>
        <w:jc w:val="both"/>
        <w:rPr>
          <w:rFonts w:ascii="Liberation Serif" w:hAnsi="Liberation Serif"/>
          <w:sz w:val="26"/>
          <w:szCs w:val="26"/>
        </w:rPr>
      </w:pPr>
      <w:r>
        <w:rPr>
          <w:rFonts w:cs="Liberation Serif" w:ascii="Liberation Serif" w:hAnsi="Liberation Serif"/>
          <w:b/>
          <w:color w:val="000000"/>
          <w:sz w:val="26"/>
          <w:szCs w:val="26"/>
        </w:rPr>
        <w:t>На III этапе проектирования разработать следующие разделы документации:</w:t>
      </w:r>
    </w:p>
    <w:p>
      <w:pPr>
        <w:pStyle w:val="Standard"/>
        <w:tabs>
          <w:tab w:val="clear" w:pos="709"/>
          <w:tab w:val="left" w:pos="5071" w:leader="none"/>
        </w:tabs>
        <w:spacing w:before="0" w:after="0"/>
        <w:ind w:left="680" w:right="0" w:firstLine="29"/>
        <w:jc w:val="both"/>
        <w:rPr>
          <w:rFonts w:ascii="Liberation Serif" w:hAnsi="Liberation Serif"/>
          <w:sz w:val="26"/>
          <w:szCs w:val="26"/>
        </w:rPr>
      </w:pPr>
      <w:r>
        <w:rPr>
          <w:rFonts w:cs="Liberation Serif" w:ascii="Liberation Serif" w:hAnsi="Liberation Serif"/>
          <w:b/>
          <w:color w:val="000000"/>
          <w:sz w:val="26"/>
          <w:szCs w:val="26"/>
        </w:rPr>
        <w:t>4.4.3. «Режимы».</w:t>
      </w:r>
    </w:p>
    <w:p>
      <w:pPr>
        <w:pStyle w:val="Standard"/>
        <w:tabs>
          <w:tab w:val="clear" w:pos="709"/>
          <w:tab w:val="left" w:pos="5071" w:leader="none"/>
        </w:tabs>
        <w:spacing w:before="0" w:after="0"/>
        <w:ind w:left="680" w:right="0" w:firstLine="29"/>
        <w:jc w:val="both"/>
        <w:rPr>
          <w:rFonts w:ascii="Liberation Serif" w:hAnsi="Liberation Serif"/>
          <w:sz w:val="26"/>
          <w:szCs w:val="26"/>
        </w:rPr>
      </w:pPr>
      <w:r>
        <w:rPr>
          <w:rFonts w:cs="Liberation Serif" w:ascii="Liberation Serif" w:hAnsi="Liberation Serif"/>
          <w:b/>
          <w:color w:val="000000"/>
          <w:sz w:val="26"/>
          <w:szCs w:val="26"/>
        </w:rPr>
        <w:t>4.4.3.1. «Расчеты установившихся электроэнергетических режимов».</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В разделе должны быть приведены описание и результаты расчетов установившихся электроэнергетических режимов работы электрической сети 110 кВ и выше, прилегающей к объектам проектирования, </w:t>
      </w:r>
      <w:r>
        <w:rPr>
          <w:rFonts w:ascii="Liberation Serif" w:hAnsi="Liberation Serif"/>
          <w:sz w:val="26"/>
          <w:szCs w:val="26"/>
        </w:rPr>
        <w:t xml:space="preserve">на год ввода планируемого к строительству (реконструкции) объекта электроэнергетики в эксплуатацию (при наличии этапности - год завершения каждого этапа (реконструкции), далее - Год ввода) и на последний год расчетного периода схемы и программы развития электроэнергетических систем России, актуальных на момент направления в адрес АО «СО ЕЭС» запроса на получение ПРМ для целей разработки данного инвестиционного проекта (далее - Расчетный период), </w:t>
      </w:r>
      <w:r>
        <w:rPr>
          <w:rFonts w:cs="Liberation Serif" w:ascii="Liberation Serif" w:hAnsi="Liberation Serif"/>
          <w:color w:val="000000"/>
          <w:sz w:val="26"/>
          <w:szCs w:val="26"/>
        </w:rPr>
        <w:t>для нормальной и ремонтных схем, а также при нормативных возмущениях в указанных схемах в соответствии с Требованиями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утвержденными приказом Минэнерго России от 03.08.2018 № 630 (далее – Методические указания по устойчивости энергосистем), Методическими указаниями по проектированию развития энергосистем, утвержденных приказом Минэнерго России от 06.12.2022 № 1286 на планируемый год ввода объекта в работу (при наличии этапности – год завершения каждого этапа) и на Расчетный период, с учетом этапности реконструкции существующих и ввода/вывода электросетевых объектов, генерирующих объектов и динамики изменения электрических нагрузок (в случае прогнозирования существенного изменения режимно-балансовой ситуации в связи с вводом/выводом генерирующих и электросетевых объектов расчеты должны быть дополнительно выполнены для каждого года Расчетного периода).</w:t>
      </w:r>
    </w:p>
    <w:p>
      <w:pPr>
        <w:pStyle w:val="19"/>
        <w:widowControl w:val="false"/>
        <w:tabs>
          <w:tab w:val="clear" w:pos="709"/>
          <w:tab w:val="left" w:pos="-4680" w:leader="none"/>
          <w:tab w:val="left" w:pos="1080" w:leader="none"/>
        </w:tabs>
        <w:ind w:left="0" w:right="0" w:firstLine="709"/>
        <w:jc w:val="both"/>
        <w:rPr>
          <w:rFonts w:ascii="Liberation Serif" w:hAnsi="Liberation Serif"/>
          <w:sz w:val="26"/>
          <w:szCs w:val="26"/>
        </w:rPr>
      </w:pPr>
      <w:r>
        <w:rPr>
          <w:rFonts w:ascii="Liberation Serif" w:hAnsi="Liberation Serif"/>
          <w:sz w:val="26"/>
          <w:szCs w:val="26"/>
        </w:rPr>
        <w:t>При анализе перспективных режимов работы электрической сети 110 кВ и выше, прилегающей к объектам проектирования, необходимо рассматривать режимы зимних максимумов потребления мощности, зимних минимумов потребления мощности, летних максимумов потребления мощности, летних</w:t>
      </w:r>
      <w:r>
        <w:rPr>
          <w:rFonts w:eastAsia="Calibri" w:ascii="Liberation Serif" w:hAnsi="Liberation Serif"/>
          <w:sz w:val="26"/>
          <w:szCs w:val="26"/>
          <w:lang w:eastAsia="en-US"/>
        </w:rPr>
        <w:t xml:space="preserve"> минимумов потребления мощности для соответствующих температур, указанных в Методических указаниях по проектированию развития энергосистем. При необходимости рассматриваются режимы минимума потребления мощности в период паводка (половодья) и максимума потребления мощности в период паводка (половодья) (при наличии ГЭС в рассматриваемой энергосистеме)</w:t>
      </w:r>
      <w:r>
        <w:rPr>
          <w:rFonts w:ascii="Liberation Serif" w:hAnsi="Liberation Serif"/>
          <w:sz w:val="26"/>
          <w:szCs w:val="26"/>
        </w:rPr>
        <w:t>.</w:t>
      </w:r>
    </w:p>
    <w:p>
      <w:pPr>
        <w:pStyle w:val="19"/>
        <w:ind w:left="0" w:right="0" w:firstLine="709"/>
        <w:jc w:val="both"/>
        <w:rPr>
          <w:rFonts w:ascii="Liberation Serif" w:hAnsi="Liberation Serif"/>
          <w:sz w:val="26"/>
          <w:szCs w:val="26"/>
        </w:rPr>
      </w:pPr>
      <w:r>
        <w:rPr>
          <w:rFonts w:ascii="Liberation Serif" w:hAnsi="Liberation Serif"/>
          <w:bCs/>
          <w:spacing w:val="-2"/>
          <w:sz w:val="26"/>
          <w:szCs w:val="26"/>
        </w:rPr>
        <w:t xml:space="preserve">При определении перегрузочной способности </w:t>
      </w:r>
      <w:r>
        <w:rPr>
          <w:rFonts w:ascii="Liberation Serif" w:hAnsi="Liberation Serif"/>
          <w:spacing w:val="-2"/>
          <w:sz w:val="26"/>
          <w:szCs w:val="26"/>
          <w:lang w:eastAsia="en-US"/>
        </w:rPr>
        <w:t>(авто</w:t>
        <w:noBreakHyphen/>
        <w:t xml:space="preserve">) </w:t>
      </w:r>
      <w:r>
        <w:rPr>
          <w:rFonts w:ascii="Liberation Serif" w:hAnsi="Liberation Serif"/>
          <w:bCs/>
          <w:spacing w:val="-2"/>
          <w:sz w:val="26"/>
          <w:szCs w:val="26"/>
        </w:rPr>
        <w:t xml:space="preserve">трансформаторов необходимо учитывать срок их эксплуатации, как на </w:t>
      </w:r>
      <w:r>
        <w:rPr>
          <w:rFonts w:ascii="Liberation Serif" w:hAnsi="Liberation Serif"/>
          <w:sz w:val="26"/>
          <w:szCs w:val="26"/>
        </w:rPr>
        <w:t>Год ввода, так и на Расчетный период</w:t>
      </w:r>
      <w:r>
        <w:rPr>
          <w:rFonts w:ascii="Liberation Serif" w:hAnsi="Liberation Serif"/>
          <w:bCs/>
          <w:spacing w:val="-2"/>
          <w:sz w:val="26"/>
          <w:szCs w:val="26"/>
        </w:rPr>
        <w:t>.</w:t>
      </w:r>
    </w:p>
    <w:p>
      <w:pPr>
        <w:pStyle w:val="124"/>
        <w:ind w:left="0" w:right="0" w:firstLine="709"/>
        <w:jc w:val="both"/>
        <w:rPr>
          <w:rFonts w:ascii="Liberation Serif" w:hAnsi="Liberation Serif"/>
          <w:sz w:val="26"/>
          <w:szCs w:val="26"/>
        </w:rPr>
      </w:pPr>
      <w:r>
        <w:rPr>
          <w:rFonts w:cs="Liberation Serif" w:ascii="Liberation Serif" w:hAnsi="Liberation Serif"/>
          <w:color w:val="000000"/>
          <w:sz w:val="26"/>
          <w:szCs w:val="26"/>
        </w:rPr>
        <w:t>Результаты расчетов должны включать в себя токовые нагрузки ЛЭП, (авто</w:t>
        <w:noBreakHyphen/>
        <w:t>)трансформаторов ПС, потокораспределение активной и реактивной мощности, уровни напряжения в электрической сети 110 кВ и выше, загрузку контролируемых сечений по активной мощности, представленные в табличном виде и нанесенные на однолинейную схему замещения сети.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Таблицы должны содержать:</w:t>
      </w:r>
    </w:p>
    <w:p>
      <w:pPr>
        <w:pStyle w:val="19"/>
        <w:numPr>
          <w:ilvl w:val="0"/>
          <w:numId w:val="12"/>
        </w:numPr>
        <w:tabs>
          <w:tab w:val="clear" w:pos="709"/>
          <w:tab w:val="left" w:pos="1134" w:leader="none"/>
        </w:tabs>
        <w:spacing w:before="0" w:after="0"/>
        <w:ind w:left="0" w:right="0" w:firstLine="709"/>
        <w:contextualSpacing/>
        <w:jc w:val="both"/>
        <w:rPr>
          <w:rFonts w:ascii="Liberation Serif" w:hAnsi="Liberation Serif"/>
          <w:sz w:val="26"/>
          <w:szCs w:val="26"/>
        </w:rPr>
      </w:pPr>
      <w:r>
        <w:rPr>
          <w:rFonts w:ascii="Liberation Serif" w:hAnsi="Liberation Serif"/>
          <w:bCs/>
          <w:spacing w:val="-2"/>
          <w:sz w:val="26"/>
          <w:szCs w:val="26"/>
        </w:rPr>
        <w:t>описание исходных схемно-режимных и режимно-балансовых условий;</w:t>
      </w:r>
    </w:p>
    <w:p>
      <w:pPr>
        <w:pStyle w:val="19"/>
        <w:numPr>
          <w:ilvl w:val="0"/>
          <w:numId w:val="12"/>
        </w:numPr>
        <w:tabs>
          <w:tab w:val="clear" w:pos="709"/>
          <w:tab w:val="left" w:pos="1134" w:leader="none"/>
        </w:tabs>
        <w:spacing w:before="0" w:after="0"/>
        <w:ind w:left="0" w:right="0" w:firstLine="709"/>
        <w:contextualSpacing/>
        <w:jc w:val="both"/>
        <w:rPr>
          <w:rFonts w:ascii="Liberation Serif" w:hAnsi="Liberation Serif"/>
          <w:sz w:val="26"/>
          <w:szCs w:val="26"/>
        </w:rPr>
      </w:pPr>
      <w:r>
        <w:rPr>
          <w:rFonts w:ascii="Liberation Serif" w:hAnsi="Liberation Serif"/>
          <w:bCs/>
          <w:spacing w:val="-2"/>
          <w:sz w:val="26"/>
          <w:szCs w:val="26"/>
        </w:rPr>
        <w:t>описание рассмотренного аварийного возмущения;</w:t>
      </w:r>
    </w:p>
    <w:p>
      <w:pPr>
        <w:pStyle w:val="19"/>
        <w:numPr>
          <w:ilvl w:val="0"/>
          <w:numId w:val="12"/>
        </w:numPr>
        <w:tabs>
          <w:tab w:val="clear" w:pos="709"/>
          <w:tab w:val="left" w:pos="1134" w:leader="none"/>
        </w:tabs>
        <w:spacing w:before="0" w:after="0"/>
        <w:ind w:left="0" w:right="0" w:firstLine="709"/>
        <w:contextualSpacing/>
        <w:jc w:val="both"/>
        <w:rPr>
          <w:rFonts w:ascii="Liberation Serif" w:hAnsi="Liberation Serif"/>
          <w:sz w:val="26"/>
          <w:szCs w:val="26"/>
        </w:rPr>
      </w:pPr>
      <w:r>
        <w:rPr>
          <w:rFonts w:ascii="Liberation Serif" w:hAnsi="Liberation Serif"/>
          <w:bCs/>
          <w:spacing w:val="-2"/>
          <w:sz w:val="26"/>
          <w:szCs w:val="26"/>
        </w:rPr>
        <w:t>учтенную при выполнении расчетов температуру наружного воздуха;</w:t>
      </w:r>
    </w:p>
    <w:p>
      <w:pPr>
        <w:pStyle w:val="Standard"/>
        <w:numPr>
          <w:ilvl w:val="0"/>
          <w:numId w:val="11"/>
        </w:numPr>
        <w:spacing w:before="0" w:after="0"/>
        <w:ind w:left="0" w:right="0" w:firstLine="708"/>
        <w:jc w:val="both"/>
        <w:rPr>
          <w:rFonts w:ascii="Liberation Serif" w:hAnsi="Liberation Serif"/>
          <w:sz w:val="26"/>
          <w:szCs w:val="26"/>
        </w:rPr>
      </w:pPr>
      <w:r>
        <w:rPr>
          <w:rFonts w:cs="Liberation Serif" w:ascii="Liberation Serif" w:hAnsi="Liberation Serif"/>
          <w:color w:val="000000"/>
          <w:sz w:val="26"/>
          <w:szCs w:val="26"/>
        </w:rPr>
        <w:t>диспетчерские наименования объектов электроэнергетики (в том числе оборудования объектов электроэнергетики);</w:t>
      </w:r>
    </w:p>
    <w:p>
      <w:pPr>
        <w:pStyle w:val="Standard"/>
        <w:numPr>
          <w:ilvl w:val="0"/>
          <w:numId w:val="11"/>
        </w:numPr>
        <w:spacing w:before="0" w:after="0"/>
        <w:ind w:left="0" w:right="0" w:firstLine="708"/>
        <w:jc w:val="both"/>
        <w:rPr>
          <w:rFonts w:ascii="Liberation Serif" w:hAnsi="Liberation Serif"/>
          <w:sz w:val="26"/>
          <w:szCs w:val="26"/>
        </w:rPr>
      </w:pPr>
      <w:r>
        <w:rPr>
          <w:rFonts w:cs="Liberation Serif" w:ascii="Liberation Serif" w:hAnsi="Liberation Serif"/>
          <w:color w:val="000000"/>
          <w:sz w:val="26"/>
          <w:szCs w:val="26"/>
        </w:rPr>
        <w:t>номера рисунков, отображающих графические результаты расчетов;</w:t>
      </w:r>
    </w:p>
    <w:p>
      <w:pPr>
        <w:pStyle w:val="Standard"/>
        <w:numPr>
          <w:ilvl w:val="0"/>
          <w:numId w:val="11"/>
        </w:numPr>
        <w:spacing w:before="0" w:after="0"/>
        <w:ind w:left="0" w:right="0" w:firstLine="708"/>
        <w:jc w:val="both"/>
        <w:rPr>
          <w:rFonts w:ascii="Liberation Serif" w:hAnsi="Liberation Serif"/>
          <w:sz w:val="26"/>
          <w:szCs w:val="26"/>
        </w:rPr>
      </w:pPr>
      <w:r>
        <w:rPr>
          <w:rFonts w:cs="Liberation Serif" w:ascii="Liberation Serif" w:hAnsi="Liberation Serif"/>
          <w:color w:val="000000"/>
          <w:sz w:val="26"/>
          <w:szCs w:val="26"/>
        </w:rPr>
        <w:t>значения токовой нагрузки ЛЭП, (авто-) трансформаторов, уровней напряжений в узлах. Параметры электроэнергетического режима, выходящие за пределы длительно допустимых (аварийно допустимых) значений, должны быть выделены цветом;</w:t>
      </w:r>
    </w:p>
    <w:p>
      <w:pPr>
        <w:pStyle w:val="19"/>
        <w:numPr>
          <w:ilvl w:val="0"/>
          <w:numId w:val="13"/>
        </w:numPr>
        <w:tabs>
          <w:tab w:val="clear" w:pos="709"/>
          <w:tab w:val="left" w:pos="1134" w:leader="none"/>
        </w:tabs>
        <w:spacing w:before="0" w:after="0"/>
        <w:ind w:left="0" w:right="0" w:firstLine="709"/>
        <w:contextualSpacing/>
        <w:jc w:val="both"/>
        <w:rPr>
          <w:rFonts w:ascii="Liberation Serif" w:hAnsi="Liberation Serif"/>
          <w:sz w:val="26"/>
          <w:szCs w:val="26"/>
        </w:rPr>
      </w:pPr>
      <w:r>
        <w:rPr>
          <w:rFonts w:ascii="Liberation Serif" w:hAnsi="Liberation Serif"/>
          <w:bCs/>
          <w:spacing w:val="-2"/>
          <w:sz w:val="26"/>
          <w:szCs w:val="26"/>
        </w:rPr>
        <w:t>длительно допустимые значения токовой нагрузки (далее - ДДТН) ЛЭП, (авто-) трансформаторов, выключателей</w:t>
      </w:r>
      <w:r>
        <w:rPr>
          <w:rFonts w:ascii="Liberation Serif" w:hAnsi="Liberation Serif"/>
          <w:sz w:val="26"/>
          <w:szCs w:val="26"/>
        </w:rPr>
        <w:t>, разъединителей, ТТ, ВЧ-заградителей, ошиновок и т.д.</w:t>
      </w:r>
      <w:r>
        <w:rPr>
          <w:rFonts w:ascii="Liberation Serif" w:hAnsi="Liberation Serif"/>
          <w:bCs/>
          <w:spacing w:val="-2"/>
          <w:sz w:val="26"/>
          <w:szCs w:val="26"/>
        </w:rPr>
        <w:t>;</w:t>
      </w:r>
    </w:p>
    <w:p>
      <w:pPr>
        <w:pStyle w:val="19"/>
        <w:numPr>
          <w:ilvl w:val="0"/>
          <w:numId w:val="13"/>
        </w:numPr>
        <w:tabs>
          <w:tab w:val="clear" w:pos="709"/>
          <w:tab w:val="left" w:pos="1134" w:leader="none"/>
        </w:tabs>
        <w:spacing w:before="0" w:after="0"/>
        <w:ind w:left="0" w:right="0" w:firstLine="709"/>
        <w:contextualSpacing/>
        <w:jc w:val="both"/>
        <w:rPr>
          <w:rFonts w:ascii="Liberation Serif" w:hAnsi="Liberation Serif"/>
          <w:sz w:val="26"/>
          <w:szCs w:val="26"/>
        </w:rPr>
      </w:pPr>
      <w:r>
        <w:rPr>
          <w:rFonts w:ascii="Liberation Serif" w:hAnsi="Liberation Serif"/>
          <w:bCs/>
          <w:spacing w:val="-2"/>
          <w:sz w:val="26"/>
          <w:szCs w:val="26"/>
        </w:rPr>
        <w:t>аварийно допустимые в течение 20 минут значения токовой нагрузки (далее - АДТН) ЛЭП, (авто-) трансформаторов, выключателей,</w:t>
      </w:r>
      <w:r>
        <w:rPr>
          <w:rFonts w:ascii="Liberation Serif" w:hAnsi="Liberation Serif"/>
          <w:sz w:val="26"/>
          <w:szCs w:val="26"/>
        </w:rPr>
        <w:t xml:space="preserve"> разъединителей, ТТ, ВЧ-заградителей, ошиновок и т.д.</w:t>
      </w:r>
      <w:r>
        <w:rPr>
          <w:rFonts w:ascii="Liberation Serif" w:hAnsi="Liberation Serif"/>
          <w:bCs/>
          <w:spacing w:val="-2"/>
          <w:sz w:val="26"/>
          <w:szCs w:val="26"/>
        </w:rPr>
        <w:t>;</w:t>
      </w:r>
    </w:p>
    <w:p>
      <w:pPr>
        <w:pStyle w:val="19"/>
        <w:numPr>
          <w:ilvl w:val="0"/>
          <w:numId w:val="13"/>
        </w:numPr>
        <w:tabs>
          <w:tab w:val="clear" w:pos="709"/>
          <w:tab w:val="left" w:pos="1134" w:leader="none"/>
        </w:tabs>
        <w:spacing w:before="0" w:after="0"/>
        <w:ind w:left="0" w:right="0" w:firstLine="709"/>
        <w:contextualSpacing/>
        <w:jc w:val="both"/>
        <w:rPr>
          <w:rFonts w:ascii="Liberation Serif" w:hAnsi="Liberation Serif"/>
          <w:sz w:val="26"/>
          <w:szCs w:val="26"/>
        </w:rPr>
      </w:pPr>
      <w:r>
        <w:rPr>
          <w:rFonts w:ascii="Liberation Serif" w:hAnsi="Liberation Serif"/>
          <w:bCs/>
          <w:spacing w:val="-2"/>
          <w:sz w:val="26"/>
          <w:szCs w:val="26"/>
        </w:rPr>
        <w:t xml:space="preserve">расчетные значения токовой нагрузки ЛЭП, (авто-) трансформаторов, выключателей, </w:t>
      </w:r>
      <w:r>
        <w:rPr>
          <w:rFonts w:ascii="Liberation Serif" w:hAnsi="Liberation Serif"/>
          <w:sz w:val="26"/>
          <w:szCs w:val="26"/>
        </w:rPr>
        <w:t>разъединителей, ТТ, ВЧ-заградителей, ошиновок и т.д.</w:t>
      </w:r>
      <w:r>
        <w:rPr>
          <w:rFonts w:ascii="Liberation Serif" w:hAnsi="Liberation Serif"/>
          <w:bCs/>
          <w:spacing w:val="-2"/>
          <w:sz w:val="26"/>
          <w:szCs w:val="26"/>
        </w:rPr>
        <w:t>;</w:t>
      </w:r>
    </w:p>
    <w:p>
      <w:pPr>
        <w:pStyle w:val="19"/>
        <w:numPr>
          <w:ilvl w:val="0"/>
          <w:numId w:val="13"/>
        </w:numPr>
        <w:tabs>
          <w:tab w:val="clear" w:pos="709"/>
          <w:tab w:val="left" w:pos="1134" w:leader="none"/>
        </w:tabs>
        <w:spacing w:before="0" w:after="0"/>
        <w:ind w:left="0" w:right="0" w:firstLine="709"/>
        <w:contextualSpacing/>
        <w:jc w:val="both"/>
        <w:rPr>
          <w:rFonts w:ascii="Liberation Serif" w:hAnsi="Liberation Serif"/>
          <w:sz w:val="26"/>
          <w:szCs w:val="26"/>
        </w:rPr>
      </w:pPr>
      <w:r>
        <w:rPr>
          <w:rFonts w:ascii="Liberation Serif" w:hAnsi="Liberation Serif"/>
          <w:bCs/>
          <w:spacing w:val="-2"/>
          <w:sz w:val="26"/>
          <w:szCs w:val="26"/>
        </w:rPr>
        <w:t>уровни напряжения на шинах объектов электроэнергетики;</w:t>
      </w:r>
    </w:p>
    <w:p>
      <w:pPr>
        <w:pStyle w:val="19"/>
        <w:numPr>
          <w:ilvl w:val="0"/>
          <w:numId w:val="13"/>
        </w:numPr>
        <w:tabs>
          <w:tab w:val="clear" w:pos="709"/>
          <w:tab w:val="left" w:pos="1134" w:leader="none"/>
        </w:tabs>
        <w:spacing w:before="0" w:after="0"/>
        <w:ind w:left="0" w:right="0" w:firstLine="709"/>
        <w:contextualSpacing/>
        <w:jc w:val="both"/>
        <w:rPr>
          <w:rFonts w:ascii="Liberation Serif" w:hAnsi="Liberation Serif"/>
          <w:sz w:val="26"/>
          <w:szCs w:val="26"/>
        </w:rPr>
      </w:pPr>
      <w:r>
        <w:rPr>
          <w:rFonts w:ascii="Liberation Serif" w:hAnsi="Liberation Serif"/>
          <w:bCs/>
          <w:spacing w:val="-2"/>
          <w:sz w:val="26"/>
          <w:szCs w:val="26"/>
        </w:rPr>
        <w:t xml:space="preserve">загрузку контролируемых сечений по активной мощности, в том числе допустимые значения </w:t>
      </w:r>
      <w:r>
        <w:rPr>
          <w:rFonts w:ascii="Liberation Serif" w:hAnsi="Liberation Serif"/>
          <w:spacing w:val="-2"/>
          <w:sz w:val="26"/>
          <w:szCs w:val="26"/>
          <w:lang w:eastAsia="en-US"/>
        </w:rPr>
        <w:t>соответствующих контролируемых параметров для всех рассматриваемых схемно-режимных условий</w:t>
      </w:r>
      <w:r>
        <w:rPr>
          <w:rFonts w:ascii="Liberation Serif" w:hAnsi="Liberation Serif"/>
          <w:bCs/>
          <w:spacing w:val="-2"/>
          <w:sz w:val="26"/>
          <w:szCs w:val="26"/>
        </w:rPr>
        <w:t xml:space="preserve">. </w:t>
      </w:r>
    </w:p>
    <w:p>
      <w:pPr>
        <w:pStyle w:val="19"/>
        <w:tabs>
          <w:tab w:val="clear" w:pos="709"/>
          <w:tab w:val="left" w:pos="1134" w:leader="none"/>
        </w:tabs>
        <w:spacing w:before="0" w:after="0"/>
        <w:ind w:left="0" w:right="0" w:firstLine="709"/>
        <w:contextualSpacing/>
        <w:jc w:val="both"/>
        <w:rPr>
          <w:rFonts w:ascii="Liberation Serif" w:hAnsi="Liberation Serif"/>
          <w:sz w:val="26"/>
          <w:szCs w:val="26"/>
        </w:rPr>
      </w:pPr>
      <w:r>
        <w:rPr>
          <w:rFonts w:ascii="Liberation Serif" w:hAnsi="Liberation Serif"/>
          <w:bCs/>
          <w:spacing w:val="-2"/>
          <w:sz w:val="26"/>
          <w:szCs w:val="26"/>
        </w:rPr>
        <w:t>Параметры электроэнергетического режима, выходящие за пределы допустимых значений, в таблице должны быть выделены цветом</w:t>
      </w:r>
      <w:r>
        <w:rPr>
          <w:rFonts w:cs="Liberation Serif" w:ascii="Liberation Serif" w:hAnsi="Liberation Serif"/>
          <w:sz w:val="26"/>
          <w:szCs w:val="26"/>
        </w:rPr>
        <w:t>.</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Графическое представление результатов расчета должно быть выполнено в цвете и содержать:</w:t>
      </w:r>
    </w:p>
    <w:p>
      <w:pPr>
        <w:pStyle w:val="Standard"/>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диспетчерские наименования объектов электроэнергетики;</w:t>
      </w:r>
    </w:p>
    <w:p>
      <w:pPr>
        <w:pStyle w:val="Standard"/>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значения перетоков в виде мощности (активной и реактивной) и тока по обоим концам сетевого элемента (ветви), уровни напряжений в узлах. ЛЭП, АТ и Т, параметры электроэнергетического режима которых выходят за пределы длительно допустимых (аварийно допустимых) значений, должны быть выделены цветом;</w:t>
      </w:r>
    </w:p>
    <w:p>
      <w:pPr>
        <w:pStyle w:val="19"/>
        <w:numPr>
          <w:ilvl w:val="0"/>
          <w:numId w:val="14"/>
        </w:numPr>
        <w:tabs>
          <w:tab w:val="clear" w:pos="709"/>
          <w:tab w:val="left" w:pos="993" w:leader="none"/>
        </w:tabs>
        <w:spacing w:before="0" w:after="0"/>
        <w:ind w:left="0" w:right="0" w:firstLine="709"/>
        <w:contextualSpacing/>
        <w:jc w:val="both"/>
        <w:rPr>
          <w:rFonts w:ascii="Liberation Serif" w:hAnsi="Liberation Serif"/>
          <w:sz w:val="26"/>
          <w:szCs w:val="26"/>
        </w:rPr>
      </w:pPr>
      <w:r>
        <w:rPr>
          <w:rFonts w:ascii="Liberation Serif" w:hAnsi="Liberation Serif"/>
          <w:bCs/>
          <w:spacing w:val="-2"/>
          <w:sz w:val="26"/>
          <w:szCs w:val="26"/>
        </w:rPr>
        <w:t>переток активной мощности в контролируемых сечениях с указанием наименования контролируемого сечения</w:t>
      </w:r>
      <w:r>
        <w:rPr>
          <w:rFonts w:cs="Liberation Serif" w:ascii="Liberation Serif" w:hAnsi="Liberation Serif"/>
          <w:sz w:val="26"/>
          <w:szCs w:val="26"/>
        </w:rPr>
        <w:t>.</w:t>
      </w:r>
    </w:p>
    <w:p>
      <w:pPr>
        <w:pStyle w:val="19"/>
        <w:tabs>
          <w:tab w:val="clear" w:pos="709"/>
          <w:tab w:val="left" w:pos="993" w:leader="none"/>
        </w:tabs>
        <w:spacing w:before="0" w:after="0"/>
        <w:ind w:left="0" w:right="0" w:firstLine="709"/>
        <w:contextualSpacing/>
        <w:jc w:val="both"/>
        <w:rPr>
          <w:rFonts w:ascii="Liberation Serif" w:hAnsi="Liberation Serif"/>
          <w:sz w:val="26"/>
          <w:szCs w:val="26"/>
        </w:rPr>
      </w:pPr>
      <w:r>
        <w:rPr>
          <w:rFonts w:ascii="Liberation Serif" w:hAnsi="Liberation Serif"/>
          <w:bCs/>
          <w:spacing w:val="-2"/>
          <w:sz w:val="26"/>
          <w:szCs w:val="26"/>
        </w:rPr>
        <w:t>Каждый рассмотренный электрический режим должен иметь уникальный в пределах проектной документации номер. Номера графических схем с результатами расчетов должны соответствовать номеру представленного электрического режима.</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На основании результатов расчетов должен быть проведен выбор оборудования ПС и ЛЭП, оценен объем необходимого электросетевого строительства, решений по реализации ПА, очередность ввода элементов электрической сети, определены мероприятия по обеспечению допустимых параметров электроэнергетического режима. В целях выбора параметров основного электротехнического оборудования и элементов РУ ПС результаты расчетов установившихся электроэнергетических режимов должны быть представлены в ф</w:t>
      </w:r>
      <w:r>
        <w:rPr>
          <w:rFonts w:cs="Liberation Serif" w:ascii="Liberation Serif" w:hAnsi="Liberation Serif"/>
          <w:color w:val="auto"/>
          <w:sz w:val="26"/>
          <w:szCs w:val="26"/>
        </w:rPr>
        <w:t>орме приложения 11.</w:t>
      </w:r>
    </w:p>
    <w:p>
      <w:pPr>
        <w:pStyle w:val="19"/>
        <w:jc w:val="both"/>
        <w:rPr>
          <w:rFonts w:ascii="Liberation Serif" w:hAnsi="Liberation Serif"/>
          <w:sz w:val="26"/>
          <w:szCs w:val="26"/>
        </w:rPr>
      </w:pPr>
      <w:r>
        <w:rPr>
          <w:rFonts w:cs="Liberation Serif" w:ascii="Liberation Serif" w:hAnsi="Liberation Serif"/>
          <w:sz w:val="26"/>
          <w:szCs w:val="26"/>
        </w:rPr>
        <w:t>В случае превышения расчетными величинами допустимых значений параметров существующего оборудования электрической сети (провода ЛЭП, выключатели, разъединители, ТТ, ВЧ-заградители, ошиновка и т.д.), которое обусловлено реализацией настоящего инвестиционного проекта, предусмотреть мероприятия по усилению электрической сети, и/или реализации устройств ПА исходя из требований Методических указаний по проектированию развития энергосистем  вне зависимости от принадлежности объектов с выделением тех мероприятий, необходимость реализации которых обусловлена реализацией настоящего инвестиционного проекта. В явном виде указать мероприятия по усилению сети и/или реализации устройств ПА из числа определенных результатами расчетов, подлежащие выполнению в рамках инвестиционного проекта по настоящему заданию на проектирование, а также замене оборудования вне зависимости от принадлежности объектов с выделением тех мероприятий, необходимость реализации которых обусловлена реализацией настоящего инвестиционного проекта. В явном виде указать мероприятия по усилению сети и замене оборудования из числа определённых расчётами, подлежащие выполнению в рамках инвестиционного проекта по настоящему заданию на проектирование.</w:t>
      </w:r>
    </w:p>
    <w:p>
      <w:pPr>
        <w:pStyle w:val="19"/>
        <w:jc w:val="both"/>
        <w:rPr>
          <w:rFonts w:ascii="Liberation Serif" w:hAnsi="Liberation Serif"/>
          <w:sz w:val="26"/>
          <w:szCs w:val="26"/>
        </w:rPr>
      </w:pPr>
      <w:r>
        <w:rPr>
          <w:rFonts w:cs="Liberation Serif" w:ascii="Liberation Serif" w:hAnsi="Liberation Serif"/>
          <w:sz w:val="26"/>
          <w:szCs w:val="26"/>
        </w:rPr>
        <w:t>На основании результатов расчетов установившихся электроэнергетических режимов должны быть определены принципы действия и состав устройств ПА, а также необходимые объемы управляющих воздействий ПА для обеспечения допустимых параметров электроэнергетического режима на Год ввода и на Расчетный период.</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Допустимость и достаточность предлагаемых технических решений (мероприятий) должны быть подтверждены результатами соответствующих расчетов.</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b/>
          <w:color w:val="000000"/>
          <w:sz w:val="26"/>
          <w:szCs w:val="26"/>
        </w:rPr>
        <w:t>4.4.3.2. «Расчеты статической устойчивости».</w:t>
      </w:r>
    </w:p>
    <w:p>
      <w:pPr>
        <w:pStyle w:val="Textbody"/>
        <w:spacing w:lineRule="auto" w:line="240"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В составе раздела должны быть выполнены расчеты статической устойчивости в электрической сети, прилегающей к объектам проектирования для нормальной и основных ремонтных схем, а также нормативных возмущений в указанных схемах в соответствии с требованиями Методических указаний по устойчивости энергосистем, а также требованиями Методических указаний по проектированию энергосистем на год осуществления технологического присоединения и на Расчетный период.</w:t>
      </w:r>
    </w:p>
    <w:p>
      <w:pPr>
        <w:pStyle w:val="19"/>
        <w:widowControl w:val="false"/>
        <w:ind w:left="0" w:right="0" w:firstLine="709"/>
        <w:jc w:val="both"/>
        <w:rPr>
          <w:rFonts w:ascii="Liberation Serif" w:hAnsi="Liberation Serif"/>
          <w:sz w:val="26"/>
          <w:szCs w:val="26"/>
        </w:rPr>
      </w:pPr>
      <w:r>
        <w:rPr>
          <w:rFonts w:cs="Liberation Serif" w:ascii="Liberation Serif" w:hAnsi="Liberation Serif"/>
          <w:sz w:val="26"/>
          <w:szCs w:val="26"/>
        </w:rPr>
        <w:t xml:space="preserve">По результатам расчетов </w:t>
      </w:r>
      <w:r>
        <w:rPr>
          <w:rFonts w:ascii="Liberation Serif" w:hAnsi="Liberation Serif"/>
          <w:bCs/>
          <w:sz w:val="26"/>
          <w:szCs w:val="26"/>
        </w:rPr>
        <w:t>настоящего пункта и пункта 4.4.4 настоящего задания на проектирование</w:t>
      </w:r>
      <w:r>
        <w:rPr>
          <w:rFonts w:ascii="Liberation Serif" w:hAnsi="Liberation Serif"/>
          <w:sz w:val="26"/>
          <w:szCs w:val="26"/>
        </w:rPr>
        <w:t xml:space="preserve"> должны быть определены</w:t>
      </w:r>
      <w:r>
        <w:rPr>
          <w:rFonts w:ascii="Liberation Serif" w:hAnsi="Liberation Serif"/>
          <w:iCs/>
          <w:sz w:val="26"/>
          <w:szCs w:val="26"/>
        </w:rPr>
        <w:t xml:space="preserve"> (пересмотрены)</w:t>
      </w:r>
      <w:r>
        <w:rPr>
          <w:rFonts w:ascii="Liberation Serif" w:hAnsi="Liberation Serif"/>
          <w:sz w:val="26"/>
          <w:szCs w:val="26"/>
        </w:rPr>
        <w:t>:</w:t>
      </w:r>
    </w:p>
    <w:p>
      <w:pPr>
        <w:pStyle w:val="19"/>
        <w:widowControl w:val="false"/>
        <w:numPr>
          <w:ilvl w:val="0"/>
          <w:numId w:val="15"/>
        </w:numPr>
        <w:tabs>
          <w:tab w:val="clear" w:pos="709"/>
          <w:tab w:val="left" w:pos="180" w:leader="none"/>
          <w:tab w:val="left" w:pos="360" w:leader="none"/>
          <w:tab w:val="left" w:pos="1080" w:leader="none"/>
        </w:tabs>
        <w:ind w:left="0" w:right="0" w:firstLine="709"/>
        <w:jc w:val="both"/>
        <w:rPr>
          <w:rFonts w:ascii="Liberation Serif" w:hAnsi="Liberation Serif"/>
          <w:sz w:val="26"/>
          <w:szCs w:val="26"/>
        </w:rPr>
      </w:pPr>
      <w:r>
        <w:rPr>
          <w:rFonts w:ascii="Liberation Serif" w:hAnsi="Liberation Serif"/>
          <w:iCs/>
          <w:sz w:val="26"/>
          <w:szCs w:val="26"/>
        </w:rPr>
        <w:t>принципы действия и состав устройств ПА, а также необходимые объемы управляющих воздействий ПА для обеспечения допустимых параметров электроэнергетического режима на Год ввода и на Расчетный период;</w:t>
      </w:r>
    </w:p>
    <w:p>
      <w:pPr>
        <w:pStyle w:val="19"/>
        <w:widowControl w:val="false"/>
        <w:numPr>
          <w:ilvl w:val="0"/>
          <w:numId w:val="15"/>
        </w:numPr>
        <w:tabs>
          <w:tab w:val="clear" w:pos="709"/>
          <w:tab w:val="left" w:pos="180" w:leader="none"/>
          <w:tab w:val="left" w:pos="360" w:leader="none"/>
          <w:tab w:val="left" w:pos="1080" w:leader="none"/>
        </w:tabs>
        <w:ind w:left="0" w:right="0" w:firstLine="709"/>
        <w:jc w:val="both"/>
        <w:rPr>
          <w:rFonts w:ascii="Liberation Serif" w:hAnsi="Liberation Serif"/>
          <w:sz w:val="26"/>
          <w:szCs w:val="26"/>
        </w:rPr>
      </w:pPr>
      <w:r>
        <w:rPr>
          <w:rFonts w:ascii="Liberation Serif" w:hAnsi="Liberation Serif"/>
          <w:iCs/>
          <w:sz w:val="26"/>
          <w:szCs w:val="26"/>
        </w:rPr>
        <w:t>максимально допустимые перетоки активной мощности в существующих контролируемых сечениях электрической сети;</w:t>
      </w:r>
    </w:p>
    <w:p>
      <w:pPr>
        <w:pStyle w:val="19"/>
        <w:widowControl w:val="false"/>
        <w:numPr>
          <w:ilvl w:val="0"/>
          <w:numId w:val="15"/>
        </w:numPr>
        <w:tabs>
          <w:tab w:val="clear" w:pos="709"/>
          <w:tab w:val="left" w:pos="180" w:leader="none"/>
          <w:tab w:val="left" w:pos="360" w:leader="none"/>
          <w:tab w:val="left" w:pos="1080" w:leader="none"/>
        </w:tabs>
        <w:ind w:left="0" w:right="0" w:firstLine="709"/>
        <w:jc w:val="both"/>
        <w:rPr>
          <w:rFonts w:ascii="Liberation Serif" w:hAnsi="Liberation Serif"/>
          <w:sz w:val="26"/>
          <w:szCs w:val="26"/>
        </w:rPr>
      </w:pPr>
      <w:r>
        <w:rPr>
          <w:rFonts w:ascii="Liberation Serif" w:hAnsi="Liberation Serif"/>
          <w:iCs/>
          <w:sz w:val="26"/>
          <w:szCs w:val="26"/>
        </w:rPr>
        <w:t>новые контролируемые сечения электрической сети (при необходимости) и максимально допустимые перетоки активной мощности в них с учетом планов по строительству (реконструкции) объектов электроэнергетики, развитию устройств (комплексов) ПА.</w:t>
      </w:r>
    </w:p>
    <w:p>
      <w:pPr>
        <w:pStyle w:val="112"/>
        <w:ind w:left="0" w:right="0" w:firstLine="709"/>
        <w:jc w:val="both"/>
        <w:rPr>
          <w:rFonts w:ascii="Liberation Serif" w:hAnsi="Liberation Serif"/>
          <w:sz w:val="26"/>
          <w:szCs w:val="26"/>
        </w:rPr>
      </w:pPr>
      <w:r>
        <w:rPr>
          <w:rFonts w:ascii="Liberation Serif" w:hAnsi="Liberation Serif"/>
          <w:bCs/>
          <w:sz w:val="26"/>
          <w:szCs w:val="26"/>
        </w:rPr>
        <w:t xml:space="preserve">В случае выявления необходимости установки устройств АОПО необходимо для вновь устанавливаемого (существующего) оборудования предоставить подтверждение (согласовать с собственником оборудования, заводом изготовителем) возможности кратковременной </w:t>
      </w:r>
      <w:r>
        <w:rPr>
          <w:rFonts w:ascii="Liberation Serif" w:hAnsi="Liberation Serif"/>
          <w:sz w:val="26"/>
          <w:szCs w:val="26"/>
        </w:rPr>
        <w:t xml:space="preserve">перегрузки по току, превышающем АДТН, </w:t>
      </w:r>
      <w:r>
        <w:rPr>
          <w:rFonts w:ascii="Liberation Serif" w:hAnsi="Liberation Serif"/>
          <w:sz w:val="26"/>
          <w:szCs w:val="26"/>
          <w:lang w:eastAsia="en-US"/>
        </w:rPr>
        <w:t>на время, необходимое для реализации УВ от существующих и/или планируемых к установке устройств АОПО, но не менее 20 секунд</w:t>
      </w:r>
      <w:r>
        <w:rPr>
          <w:rFonts w:ascii="Liberation Serif" w:hAnsi="Liberation Serif"/>
          <w:bCs/>
          <w:sz w:val="26"/>
          <w:szCs w:val="26"/>
        </w:rPr>
        <w:t>.</w:t>
      </w:r>
    </w:p>
    <w:p>
      <w:pPr>
        <w:pStyle w:val="19"/>
        <w:ind w:left="0" w:right="0" w:firstLine="709"/>
        <w:jc w:val="both"/>
        <w:rPr>
          <w:rFonts w:ascii="Liberation Serif" w:hAnsi="Liberation Serif"/>
          <w:sz w:val="26"/>
          <w:szCs w:val="26"/>
        </w:rPr>
      </w:pPr>
      <w:r>
        <w:rPr>
          <w:rFonts w:ascii="Liberation Serif" w:hAnsi="Liberation Serif"/>
          <w:bCs/>
          <w:sz w:val="26"/>
          <w:szCs w:val="26"/>
        </w:rPr>
        <w:t xml:space="preserve">В случае необходимости замены существующего оборудования, защищаемого существующими устройствами АОПО, требуется для вновь устанавливаемого оборудования предоставить подтверждение (согласовать с заводом изготовителем) возможности кратковременной </w:t>
      </w:r>
      <w:r>
        <w:rPr>
          <w:rFonts w:ascii="Liberation Serif" w:hAnsi="Liberation Serif"/>
          <w:sz w:val="26"/>
          <w:szCs w:val="26"/>
        </w:rPr>
        <w:t xml:space="preserve">перегрузки по току, превышающем АДТН, </w:t>
      </w:r>
      <w:r>
        <w:rPr>
          <w:rFonts w:ascii="Liberation Serif" w:hAnsi="Liberation Serif"/>
          <w:sz w:val="26"/>
          <w:szCs w:val="26"/>
          <w:lang w:eastAsia="en-US"/>
        </w:rPr>
        <w:t>на время, необходимое для реализации УВ от существующих и/или планируемых к установке устройств АОПО, но не менее 20 секунд</w:t>
      </w:r>
      <w:r>
        <w:rPr>
          <w:rFonts w:ascii="Liberation Serif" w:hAnsi="Liberation Serif"/>
          <w:bCs/>
          <w:sz w:val="26"/>
          <w:szCs w:val="26"/>
        </w:rPr>
        <w:t>.</w:t>
      </w:r>
    </w:p>
    <w:p>
      <w:pPr>
        <w:pStyle w:val="19"/>
        <w:widowControl w:val="false"/>
        <w:tabs>
          <w:tab w:val="clear" w:pos="709"/>
          <w:tab w:val="left" w:pos="-4680" w:leader="none"/>
          <w:tab w:val="left" w:pos="1080" w:leader="none"/>
        </w:tabs>
        <w:ind w:left="0" w:right="0" w:firstLine="709"/>
        <w:jc w:val="both"/>
        <w:rPr>
          <w:rFonts w:ascii="Liberation Serif" w:hAnsi="Liberation Serif"/>
          <w:sz w:val="26"/>
          <w:szCs w:val="26"/>
        </w:rPr>
      </w:pPr>
      <w:r>
        <w:rPr>
          <w:rFonts w:ascii="Liberation Serif" w:hAnsi="Liberation Serif"/>
          <w:bCs/>
          <w:sz w:val="26"/>
          <w:szCs w:val="26"/>
        </w:rPr>
        <w:t>В случае отсутствия возможности предоставления указанной перегрузки необходимо предусмотреть иные технические решения, обеспечивающие исключение превышения допустимых токовых нагрузок, вне зависимости от принадлежности.</w:t>
      </w:r>
    </w:p>
    <w:p>
      <w:pPr>
        <w:pStyle w:val="Standard"/>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Результаты расчетов максимально допустимых перетоков активной мощности должны быть приведены </w:t>
      </w:r>
      <w:r>
        <w:rPr>
          <w:rFonts w:cs="Liberation Serif" w:ascii="Liberation Serif" w:hAnsi="Liberation Serif"/>
          <w:color w:val="auto"/>
          <w:sz w:val="26"/>
          <w:szCs w:val="26"/>
        </w:rPr>
        <w:t>по форме приложения 12</w:t>
      </w:r>
      <w:r>
        <w:rPr>
          <w:rFonts w:cs="Liberation Serif" w:ascii="Liberation Serif" w:hAnsi="Liberation Serif"/>
          <w:color w:val="000000"/>
          <w:sz w:val="26"/>
          <w:szCs w:val="26"/>
        </w:rPr>
        <w:t>.</w:t>
      </w:r>
    </w:p>
    <w:p>
      <w:pPr>
        <w:pStyle w:val="Standard"/>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В случае невыполнения требований Методических указаний по устойчивости энергосистем </w:t>
      </w:r>
      <w:r>
        <w:rPr>
          <w:rFonts w:ascii="Liberation Serif" w:hAnsi="Liberation Serif"/>
          <w:sz w:val="26"/>
          <w:szCs w:val="26"/>
        </w:rPr>
        <w:t>и Методических указаний по проектированию развития энергосистем</w:t>
      </w:r>
      <w:r>
        <w:rPr>
          <w:rFonts w:cs="Liberation Serif" w:ascii="Liberation Serif" w:hAnsi="Liberation Serif"/>
          <w:color w:val="000000"/>
          <w:sz w:val="26"/>
          <w:szCs w:val="26"/>
        </w:rPr>
        <w:t xml:space="preserve">, выявления необходимости увеличения МДП в контролируемых сечениях необходимо разработать мероприятия по обеспечению </w:t>
      </w:r>
      <w:r>
        <w:rPr>
          <w:rFonts w:ascii="Liberation Serif" w:hAnsi="Liberation Serif"/>
          <w:sz w:val="26"/>
          <w:szCs w:val="26"/>
        </w:rPr>
        <w:t xml:space="preserve">допустимой токовой нагрузки ЛЭП и сетевого оборудования, </w:t>
      </w:r>
      <w:r>
        <w:rPr>
          <w:rFonts w:cs="Liberation Serif" w:ascii="Liberation Serif" w:hAnsi="Liberation Serif"/>
          <w:color w:val="000000"/>
          <w:sz w:val="26"/>
          <w:szCs w:val="26"/>
        </w:rPr>
        <w:t>статической устойчивости в электрической сети в районе размещения объектов проектирования (усиление электрической сети, установка и/или модернизация устройств ПА с определением необходимых видов, объемов и дискретности управляющих воздействий ПА).</w:t>
      </w:r>
    </w:p>
    <w:p>
      <w:pPr>
        <w:pStyle w:val="Standard"/>
        <w:ind w:left="0" w:right="0" w:firstLine="709"/>
        <w:jc w:val="both"/>
        <w:rPr>
          <w:rFonts w:ascii="Liberation Serif" w:hAnsi="Liberation Serif"/>
          <w:sz w:val="26"/>
          <w:szCs w:val="26"/>
        </w:rPr>
      </w:pPr>
      <w:r>
        <w:rPr>
          <w:rFonts w:cs="Liberation Serif" w:ascii="Liberation Serif" w:hAnsi="Liberation Serif"/>
          <w:b/>
          <w:color w:val="000000"/>
          <w:sz w:val="26"/>
          <w:szCs w:val="26"/>
        </w:rPr>
        <w:t>4.4.3.3. Раздел «Регулирование напряжения и компенсация реактивной мощности».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В составе раздела должен быть выполнен анализ  уровней напряжения на объекте проектирования и в прилегающей электрической сети напряжением 110 кВ и выше рассматриваемого энергорайона, определены технические решения по установке необходимых источников реактивной мощности и средств компенсации реактивной мощности для обеспечения допустимых уровней напряжения и качества электрической энергии (вид, количество, номинальные параметры и точки подключения СКРМ в районе размещения объекта проектирования) на планируемый год ввода объекта в работу и на Расчетный период, необходимость регулирования напряжения в сети с использованием РПН трансформаторов (автотрансформаторов), включая автоматическое изменение их коэффициента трансформации. При необходимости установки регулируемых СКРМ должны быть представлены соответствующие обосновывающие расчеты.</w:t>
      </w:r>
      <w:r>
        <w:rPr>
          <w:rFonts w:cs="Liberation Serif" w:ascii="Liberation Serif" w:hAnsi="Liberation Serif"/>
          <w:b/>
          <w:color w:val="000000"/>
          <w:sz w:val="26"/>
          <w:szCs w:val="26"/>
        </w:rPr>
        <w:t xml:space="preserve"> </w:t>
      </w:r>
    </w:p>
    <w:p>
      <w:pPr>
        <w:pStyle w:val="Standard"/>
        <w:spacing w:before="0" w:after="0"/>
        <w:ind w:left="0" w:right="0" w:firstLine="709"/>
        <w:jc w:val="both"/>
        <w:rPr>
          <w:rFonts w:ascii="Liberation Serif" w:hAnsi="Liberation Serif"/>
          <w:sz w:val="26"/>
          <w:szCs w:val="26"/>
        </w:rPr>
      </w:pPr>
      <w:r>
        <w:rPr>
          <w:rFonts w:ascii="Liberation Serif" w:hAnsi="Liberation Serif"/>
          <w:sz w:val="26"/>
          <w:szCs w:val="26"/>
          <w:lang w:eastAsia="ja-JP"/>
        </w:rPr>
        <w:t>В разделе должна быть произведена проверка БСК (иных СКРМ, имеющих в своем составе БСК) на возможную перегрузку токами высших гармоник и отсутствие условий для возникновения резонансных явлений при исходных фактических значениях гармонических составляющих напряжения на шинах подстанции, к которой присоединяется БСК. Информация о фактических значениях показателей качества электроэнергии предоставляется Заказчиком.</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b/>
          <w:color w:val="000000"/>
          <w:sz w:val="26"/>
          <w:szCs w:val="26"/>
        </w:rPr>
        <w:t>4.4.3.4. «Расчеты токов короткого замыкания».</w:t>
      </w:r>
    </w:p>
    <w:p>
      <w:pPr>
        <w:pStyle w:val="Standard"/>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в составе раздела </w:t>
      </w:r>
      <w:r>
        <w:rPr>
          <w:rFonts w:ascii="Liberation Serif" w:hAnsi="Liberation Serif"/>
          <w:sz w:val="26"/>
          <w:szCs w:val="26"/>
          <w:shd w:fill="FFFFFF" w:val="clear"/>
        </w:rPr>
        <w:t>должны быть выполнены расчеты</w:t>
      </w:r>
      <w:r>
        <w:rPr>
          <w:rFonts w:cs="Liberation Serif" w:ascii="Liberation Serif" w:hAnsi="Liberation Serif"/>
          <w:color w:val="000000"/>
          <w:sz w:val="26"/>
          <w:szCs w:val="26"/>
        </w:rPr>
        <w:t xml:space="preserve"> токов короткого замыкания на шинах 110 кВ ПС 110 кВ Молодежная, а также на шинах энергообъектов прилегающей сети 110 кВ и выше </w:t>
      </w:r>
      <w:r>
        <w:rPr>
          <w:rFonts w:ascii="Liberation Serif" w:hAnsi="Liberation Serif"/>
          <w:sz w:val="26"/>
          <w:szCs w:val="26"/>
          <w:shd w:fill="FFFFFF" w:val="clear"/>
        </w:rPr>
        <w:t xml:space="preserve">в соответствии с требованиями Методических указаний по проектированию развития энергосистем </w:t>
      </w:r>
      <w:r>
        <w:rPr>
          <w:rFonts w:cs="Liberation Serif" w:ascii="Liberation Serif" w:hAnsi="Liberation Serif"/>
          <w:color w:val="000000"/>
          <w:sz w:val="26"/>
          <w:szCs w:val="26"/>
        </w:rPr>
        <w:t>на планируемый год ввода объекта в работу и на Расчетный период.</w:t>
      </w:r>
    </w:p>
    <w:p>
      <w:pPr>
        <w:pStyle w:val="Standard"/>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По результатам расчетов должны быть определены требования к отключающей способности устанавливаемых выключателей (в том числе с учетом параметров восстанавливающегося напряжения на контактах выключателя), термической и динамической стойкости выключателей и иного оборудования, выполнена проверка соответствия существующего оборудования расчетным токам КЗ (в том числе оборудования кабельных систем 110 кВ и выше по термической стойкости и напряжению на экране кабеля), обеспечения требуемой погрешности измерительных трансформаторов тока по условиям надежной работы устройств РЗ и СИ и, при необходимости, разработаны рекомендации по замене оборудования на объекте проектирования и объектах прилегающей электрической сети и/или разработаны мероприятия по ограничению токов КЗ (секционирование, применение токоограничивающих реакторов, земляные нейтрали части трансформаторов, опережающее деление сети и т.д.). </w:t>
      </w:r>
      <w:r>
        <w:rPr>
          <w:rFonts w:cs="Liberation Serif" w:ascii="Liberation Serif" w:hAnsi="Liberation Serif"/>
          <w:b/>
          <w:color w:val="000000"/>
          <w:sz w:val="26"/>
          <w:szCs w:val="26"/>
        </w:rPr>
        <w:t xml:space="preserve"> </w:t>
      </w:r>
    </w:p>
    <w:p>
      <w:pPr>
        <w:pStyle w:val="Standard"/>
        <w:ind w:left="0" w:right="0" w:firstLine="709"/>
        <w:jc w:val="both"/>
        <w:rPr>
          <w:rFonts w:ascii="Liberation Serif" w:hAnsi="Liberation Serif"/>
          <w:sz w:val="26"/>
          <w:szCs w:val="26"/>
        </w:rPr>
      </w:pPr>
      <w:r>
        <w:rPr>
          <w:rFonts w:cs="Liberation Serif" w:ascii="Liberation Serif" w:hAnsi="Liberation Serif"/>
          <w:b/>
          <w:color w:val="000000"/>
          <w:sz w:val="26"/>
          <w:szCs w:val="26"/>
        </w:rPr>
        <w:t>4.4.4. В части строительства ПС 110 кВ Молодежная обосновать, рекомендовать, определить и выполнить:</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площадку под строительство;</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схему присоединения объекта;</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количество, мощность и типоисполнение трансформаторного оборудования;</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схему электрическую принципиальную ПС (РУ) с расчётно-пояснительной запиской;</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решения по основному электротехническому оборудованию;</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решения по СКРМ, включая тип, количество, единичную мощность и точки подключения (при необходимости СКРМ);</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основные решения по организации системы оперативного тока;</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основные решения по организации РЗ, СА, ПА, РАС; </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решения по режимам АПВ (в том числе ОАПВ);</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схему размещения устройств релейной защиты и автоматики (РЗ), противоаварийной автоматики (ПА), РАС на объекте проектирования и в прилегающей сети с отражением используемых каналов связи (ВОЛС, ВЧ, другое) для передачи сигналов и команд РЗ, ПА, включая резервные каналы связи; </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объем управляющих воздействий и перечень присоединений, которые могут быть отключены устройствами ПА (ОН, АЧР);</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структурную схему связи и передачи данных РАС, пояснительную записку (состав функциональных подсистем, направления передачи информации);</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основные решения по организации АИИС КУЭ; </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схему распределения устройств информационно-технологических систем, в т.ч. РЗА, по ТН и ТТ;</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основные решения по организации систем связи; </w:t>
      </w:r>
    </w:p>
    <w:p>
      <w:pPr>
        <w:pStyle w:val="124"/>
        <w:numPr>
          <w:ilvl w:val="0"/>
          <w:numId w:val="2"/>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определить каналы, технологии и состав оборудования связи.</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главную электрическую схему подстанции;</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генеральный план ПС;</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конструктивные и компоновочные решения (РУ открытого исполнения, КРУЭ или др.);</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решения по системам РЗА, ПА, АИИС КУЭ и связи с указанием мест их размещения;</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организацию управления подстанцией из удаленных центров управления;</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план заходов ВЛ/КЛ;</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место (район) размещения объекта, размер площадки;</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строительные решения, включая использование прежних зданий и сооружений (для реконструируемых ПС), а также строительство новых, на основе современных строительных технологий (применение комплектного оборудования, модульно-блочных зданий и т.д.);</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схемные и технические решения по ограничению токов короткого замыкания (т.к.з.);</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необходимость и возможность расширения ПС в перспективе;</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решения по обеспечению электроснабжения собственных нужд (СН):</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схему системы СН и схему питания СН; вид и количество независимых источников СН; требуемая мощность источников СН;</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решения по инженерным системам (противопожарным, водоснабжению и др.);</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описание мероприятий и обоснование проектных решений, направленных на предотвращение несанкционированного доступа на объект;</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описание проектных решений и мероприятий по охране объектов в период строительства.</w:t>
      </w:r>
    </w:p>
    <w:p>
      <w:pPr>
        <w:pStyle w:val="Standard"/>
        <w:numPr>
          <w:ilvl w:val="0"/>
          <w:numId w:val="2"/>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прочие разделы проектной документации согласно постановлению Правительства Российской Федерации «О составе разделов проектной документации и требованиях к их содержанию» от 16.02.2008 № 87.</w:t>
      </w:r>
    </w:p>
    <w:p>
      <w:pPr>
        <w:pStyle w:val="Standard"/>
        <w:tabs>
          <w:tab w:val="clear" w:pos="709"/>
          <w:tab w:val="left" w:pos="993" w:leader="none"/>
        </w:tabs>
        <w:spacing w:before="0" w:after="0"/>
        <w:ind w:left="0" w:right="0" w:firstLine="709"/>
        <w:jc w:val="both"/>
        <w:rPr>
          <w:rFonts w:ascii="Liberation Serif" w:hAnsi="Liberation Serif"/>
          <w:sz w:val="26"/>
          <w:szCs w:val="26"/>
        </w:rPr>
      </w:pPr>
      <w:r>
        <w:rPr>
          <w:rFonts w:ascii="Liberation Serif" w:hAnsi="Liberation Serif"/>
          <w:spacing w:val="-4"/>
          <w:sz w:val="26"/>
          <w:szCs w:val="26"/>
          <w:lang w:eastAsia="ja-JP"/>
        </w:rPr>
        <w:t>В разделе необходимо привести технические параметры и характеристики устанавливаемого (реконструируемого) оборудования в объеме, предусмотренном Правилами предоставления информации, необходимой для осуществления оперативно-диспетчерского управления в электроэнергетике, утвержденными приказом Минэнерго России от 20.12.2022 № 1340 (далее – Правила предоставления информации).</w:t>
      </w:r>
      <w:r>
        <w:rPr>
          <w:rFonts w:cs="Liberation Serif" w:ascii="Liberation Serif" w:hAnsi="Liberation Serif"/>
          <w:color w:val="000000"/>
          <w:sz w:val="26"/>
          <w:szCs w:val="26"/>
        </w:rPr>
        <w:t xml:space="preserve"> </w:t>
      </w:r>
      <w:r>
        <w:rPr>
          <w:rFonts w:cs="Liberation Serif" w:ascii="Liberation Serif" w:hAnsi="Liberation Serif"/>
          <w:b/>
          <w:color w:val="000000"/>
          <w:sz w:val="26"/>
          <w:szCs w:val="26"/>
        </w:rPr>
        <w:t xml:space="preserve">  </w:t>
      </w:r>
    </w:p>
    <w:p>
      <w:pPr>
        <w:pStyle w:val="Standard"/>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color w:val="000000"/>
          <w:sz w:val="26"/>
          <w:szCs w:val="26"/>
        </w:rPr>
        <w:t>4.4.5. В части ЛЭП 110 кВ обосновать, рекомендовать, определить и выполнить:</w:t>
      </w:r>
    </w:p>
    <w:p>
      <w:pPr>
        <w:pStyle w:val="Standard"/>
        <w:numPr>
          <w:ilvl w:val="0"/>
          <w:numId w:val="7"/>
        </w:numPr>
        <w:tabs>
          <w:tab w:val="clear" w:pos="709"/>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 xml:space="preserve">сечение, тип проводов (кабеля) и конструкцию фазы </w:t>
      </w:r>
    </w:p>
    <w:p>
      <w:pPr>
        <w:pStyle w:val="Standard"/>
        <w:numPr>
          <w:ilvl w:val="0"/>
          <w:numId w:val="7"/>
        </w:numPr>
        <w:tabs>
          <w:tab w:val="clear" w:pos="709"/>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основные технические решения по КЛ, в т.ч. марки, количество концевых и соединительных муфт;</w:t>
      </w:r>
    </w:p>
    <w:p>
      <w:pPr>
        <w:pStyle w:val="Standard"/>
        <w:numPr>
          <w:ilvl w:val="0"/>
          <w:numId w:val="7"/>
        </w:numPr>
        <w:tabs>
          <w:tab w:val="clear" w:pos="709"/>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основные технические решения по ВЛ, в т.ч. по применению типовых или неунифицированных, индивидуально сконструированных строительных конструкций (опор, фундаментов и т.д.);</w:t>
      </w:r>
    </w:p>
    <w:p>
      <w:pPr>
        <w:pStyle w:val="Standard"/>
        <w:numPr>
          <w:ilvl w:val="0"/>
          <w:numId w:val="7"/>
        </w:numPr>
        <w:tabs>
          <w:tab w:val="clear" w:pos="709"/>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характеристики пропускной способности ВЛ (КЛ) в обе стороны (учитывая нормированную плотность тока);</w:t>
      </w:r>
    </w:p>
    <w:p>
      <w:pPr>
        <w:pStyle w:val="Standard"/>
        <w:numPr>
          <w:ilvl w:val="0"/>
          <w:numId w:val="7"/>
        </w:numPr>
        <w:tabs>
          <w:tab w:val="clear" w:pos="709"/>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протяженность и вариант прохождения трассы;</w:t>
      </w:r>
    </w:p>
    <w:p>
      <w:pPr>
        <w:pStyle w:val="Standard"/>
        <w:numPr>
          <w:ilvl w:val="0"/>
          <w:numId w:val="7"/>
        </w:numPr>
        <w:tabs>
          <w:tab w:val="clear" w:pos="709"/>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количество цепей и тросов;;</w:t>
      </w:r>
    </w:p>
    <w:p>
      <w:pPr>
        <w:pStyle w:val="Standard"/>
        <w:numPr>
          <w:ilvl w:val="0"/>
          <w:numId w:val="7"/>
        </w:numPr>
        <w:tabs>
          <w:tab w:val="clear" w:pos="709"/>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линейную изоляцию (тип кабеля);</w:t>
      </w:r>
    </w:p>
    <w:p>
      <w:pPr>
        <w:pStyle w:val="Standard"/>
        <w:numPr>
          <w:ilvl w:val="0"/>
          <w:numId w:val="7"/>
        </w:numPr>
        <w:tabs>
          <w:tab w:val="clear" w:pos="709"/>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тип опор и фундаментов (способ прокладки КЛ);</w:t>
      </w:r>
    </w:p>
    <w:p>
      <w:pPr>
        <w:pStyle w:val="Standard"/>
        <w:numPr>
          <w:ilvl w:val="0"/>
          <w:numId w:val="7"/>
        </w:numPr>
        <w:tabs>
          <w:tab w:val="clear" w:pos="709"/>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схему заходов и подключения ВЛ (КЛ) к ПС;</w:t>
      </w:r>
    </w:p>
    <w:p>
      <w:pPr>
        <w:pStyle w:val="Standard"/>
        <w:numPr>
          <w:ilvl w:val="0"/>
          <w:numId w:val="7"/>
        </w:numPr>
        <w:tabs>
          <w:tab w:val="clear" w:pos="709"/>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защиту от грозовых и внутренних перенапряжений;</w:t>
      </w:r>
    </w:p>
    <w:p>
      <w:pPr>
        <w:pStyle w:val="Standard"/>
        <w:numPr>
          <w:ilvl w:val="0"/>
          <w:numId w:val="7"/>
        </w:numPr>
        <w:tabs>
          <w:tab w:val="clear" w:pos="709"/>
          <w:tab w:val="left" w:pos="993" w:leader="none"/>
        </w:tabs>
        <w:jc w:val="both"/>
        <w:rPr>
          <w:rFonts w:ascii="Liberation Serif" w:hAnsi="Liberation Serif"/>
          <w:sz w:val="26"/>
          <w:szCs w:val="26"/>
        </w:rPr>
      </w:pPr>
      <w:r>
        <w:rPr>
          <w:rFonts w:cs="Liberation Serif" w:ascii="Liberation Serif" w:hAnsi="Liberation Serif"/>
          <w:color w:val="000000"/>
          <w:sz w:val="26"/>
          <w:szCs w:val="26"/>
        </w:rPr>
        <w:t>необходимость и расстановку СКРМ, дополнительные мероприятия повышения пропускной способности ВЛ;</w:t>
      </w:r>
    </w:p>
    <w:p>
      <w:pPr>
        <w:pStyle w:val="Standard"/>
        <w:numPr>
          <w:ilvl w:val="0"/>
          <w:numId w:val="7"/>
        </w:numPr>
        <w:tabs>
          <w:tab w:val="clear" w:pos="709"/>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средства снижения ветровой вибрации;</w:t>
      </w:r>
    </w:p>
    <w:p>
      <w:pPr>
        <w:pStyle w:val="Standard"/>
        <w:numPr>
          <w:ilvl w:val="0"/>
          <w:numId w:val="7"/>
        </w:numPr>
        <w:tabs>
          <w:tab w:val="clear" w:pos="709"/>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определить тип и марку волоконно-оптического кабеля (ОКСН, ОКНН, ОКГТ);</w:t>
      </w:r>
    </w:p>
    <w:p>
      <w:pPr>
        <w:pStyle w:val="Standard"/>
        <w:numPr>
          <w:ilvl w:val="0"/>
          <w:numId w:val="7"/>
        </w:numPr>
        <w:tabs>
          <w:tab w:val="clear" w:pos="709"/>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прочие разделы проектной документации согласно постановлению Правительства Российской Федерации «О составе разделов проектной документации и требованиях к их содержанию» от 16.02.2008 № 87.</w:t>
      </w:r>
    </w:p>
    <w:p>
      <w:pPr>
        <w:pStyle w:val="Standard"/>
        <w:tabs>
          <w:tab w:val="clear" w:pos="709"/>
          <w:tab w:val="left" w:pos="993" w:leader="none"/>
        </w:tabs>
        <w:spacing w:before="0" w:after="0"/>
        <w:ind w:left="0" w:right="0" w:firstLine="709"/>
        <w:jc w:val="both"/>
        <w:rPr>
          <w:rFonts w:ascii="Liberation Serif" w:hAnsi="Liberation Serif"/>
          <w:sz w:val="26"/>
          <w:szCs w:val="26"/>
        </w:rPr>
      </w:pPr>
      <w:r>
        <w:rPr>
          <w:rFonts w:ascii="Liberation Serif" w:hAnsi="Liberation Serif"/>
          <w:sz w:val="26"/>
          <w:szCs w:val="26"/>
        </w:rPr>
        <w:t>В разделе необходимо привести технические параметры и характеристики реконструируемых (сооружаемых) ЛЭП и устанавливаемого (реконструируемого) оборудования в объеме, предусмотренном Правилами предоставления информации.</w:t>
      </w:r>
    </w:p>
    <w:p>
      <w:pPr>
        <w:pStyle w:val="Standard"/>
        <w:spacing w:before="0" w:after="0"/>
        <w:ind w:left="1428" w:right="0" w:hanging="719"/>
        <w:jc w:val="both"/>
        <w:rPr>
          <w:rFonts w:ascii="Liberation Serif" w:hAnsi="Liberation Serif"/>
          <w:sz w:val="26"/>
          <w:szCs w:val="26"/>
        </w:rPr>
      </w:pPr>
      <w:r>
        <w:rPr>
          <w:rFonts w:cs="Liberation Serif" w:ascii="Liberation Serif" w:hAnsi="Liberation Serif"/>
          <w:b/>
          <w:color w:val="000000"/>
          <w:sz w:val="26"/>
          <w:szCs w:val="26"/>
        </w:rPr>
        <w:t>4.4.6. В части КЛ 10 кВ обосновать, рекомендовать, определить и выполнить:</w:t>
      </w:r>
    </w:p>
    <w:p>
      <w:pPr>
        <w:pStyle w:val="Standard"/>
        <w:numPr>
          <w:ilvl w:val="0"/>
          <w:numId w:val="8"/>
        </w:numPr>
        <w:tabs>
          <w:tab w:val="clear" w:pos="709"/>
          <w:tab w:val="left" w:pos="566" w:leader="none"/>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 xml:space="preserve">сечение, тип кабеля и конструкцию фазы </w:t>
      </w:r>
    </w:p>
    <w:p>
      <w:pPr>
        <w:pStyle w:val="Standard"/>
        <w:numPr>
          <w:ilvl w:val="0"/>
          <w:numId w:val="8"/>
        </w:numPr>
        <w:tabs>
          <w:tab w:val="clear" w:pos="709"/>
          <w:tab w:val="left" w:pos="566" w:leader="none"/>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точки присоединения к сетям;</w:t>
      </w:r>
    </w:p>
    <w:p>
      <w:pPr>
        <w:pStyle w:val="Standard"/>
        <w:numPr>
          <w:ilvl w:val="0"/>
          <w:numId w:val="8"/>
        </w:numPr>
        <w:tabs>
          <w:tab w:val="clear" w:pos="709"/>
          <w:tab w:val="left" w:pos="566" w:leader="none"/>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основные технические решения, в т.ч. марки, количество концевых и соединительных муфт;</w:t>
      </w:r>
    </w:p>
    <w:p>
      <w:pPr>
        <w:pStyle w:val="Standard"/>
        <w:numPr>
          <w:ilvl w:val="0"/>
          <w:numId w:val="8"/>
        </w:numPr>
        <w:tabs>
          <w:tab w:val="clear" w:pos="709"/>
          <w:tab w:val="left" w:pos="566" w:leader="none"/>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характеристики пропускной способности КЛ в обе стороны (учитывая нормированную плотность тока);</w:t>
      </w:r>
    </w:p>
    <w:p>
      <w:pPr>
        <w:pStyle w:val="Standard"/>
        <w:numPr>
          <w:ilvl w:val="0"/>
          <w:numId w:val="8"/>
        </w:numPr>
        <w:tabs>
          <w:tab w:val="clear" w:pos="709"/>
          <w:tab w:val="left" w:pos="566" w:leader="none"/>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протяженность и вариант прохождения трассы;</w:t>
      </w:r>
    </w:p>
    <w:p>
      <w:pPr>
        <w:pStyle w:val="Standard"/>
        <w:numPr>
          <w:ilvl w:val="0"/>
          <w:numId w:val="8"/>
        </w:numPr>
        <w:tabs>
          <w:tab w:val="clear" w:pos="709"/>
          <w:tab w:val="left" w:pos="566" w:leader="none"/>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количество цепей;</w:t>
      </w:r>
    </w:p>
    <w:p>
      <w:pPr>
        <w:pStyle w:val="Standard"/>
        <w:numPr>
          <w:ilvl w:val="0"/>
          <w:numId w:val="8"/>
        </w:numPr>
        <w:tabs>
          <w:tab w:val="clear" w:pos="709"/>
          <w:tab w:val="left" w:pos="566" w:leader="none"/>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линейную изоляцию (тип кабеля);</w:t>
      </w:r>
    </w:p>
    <w:p>
      <w:pPr>
        <w:pStyle w:val="Standard"/>
        <w:numPr>
          <w:ilvl w:val="0"/>
          <w:numId w:val="8"/>
        </w:numPr>
        <w:tabs>
          <w:tab w:val="clear" w:pos="709"/>
          <w:tab w:val="left" w:pos="566" w:leader="none"/>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Способ прокладки КЛ, схему заходов и подключения к КЛ к ПС;</w:t>
      </w:r>
    </w:p>
    <w:p>
      <w:pPr>
        <w:pStyle w:val="Standard"/>
        <w:numPr>
          <w:ilvl w:val="0"/>
          <w:numId w:val="8"/>
        </w:numPr>
        <w:tabs>
          <w:tab w:val="clear" w:pos="709"/>
          <w:tab w:val="left" w:pos="566" w:leader="none"/>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защиту от грозовых и внутренних перенапряжений;</w:t>
      </w:r>
    </w:p>
    <w:p>
      <w:pPr>
        <w:pStyle w:val="Standard"/>
        <w:numPr>
          <w:ilvl w:val="0"/>
          <w:numId w:val="8"/>
        </w:numPr>
        <w:tabs>
          <w:tab w:val="clear" w:pos="709"/>
          <w:tab w:val="left" w:pos="566" w:leader="none"/>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определить тип и марку волоконно-оптического кабеля (ОКСН, ОКНН, ОКГТ);</w:t>
      </w:r>
    </w:p>
    <w:p>
      <w:pPr>
        <w:pStyle w:val="Standard"/>
        <w:numPr>
          <w:ilvl w:val="0"/>
          <w:numId w:val="8"/>
        </w:numPr>
        <w:tabs>
          <w:tab w:val="clear" w:pos="709"/>
          <w:tab w:val="left" w:pos="566" w:leader="none"/>
          <w:tab w:val="left" w:pos="993" w:leader="none"/>
        </w:tabs>
        <w:spacing w:before="0" w:after="0"/>
        <w:jc w:val="both"/>
        <w:rPr>
          <w:rFonts w:ascii="Liberation Serif" w:hAnsi="Liberation Serif"/>
          <w:sz w:val="26"/>
          <w:szCs w:val="26"/>
        </w:rPr>
      </w:pPr>
      <w:r>
        <w:rPr>
          <w:rFonts w:cs="Liberation Serif" w:ascii="Liberation Serif" w:hAnsi="Liberation Serif"/>
          <w:color w:val="000000"/>
          <w:sz w:val="26"/>
          <w:szCs w:val="26"/>
        </w:rPr>
        <w:t>прочие разделы проектной документации согласно постановлению Правительства Российской Федерации «О составе разделов проектной документации и требованиях к их содержанию» от 16.02.2008 № 87.</w:t>
      </w:r>
    </w:p>
    <w:p>
      <w:pPr>
        <w:pStyle w:val="Standard"/>
        <w:tabs>
          <w:tab w:val="clear" w:pos="709"/>
          <w:tab w:val="left" w:pos="566" w:leader="none"/>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color w:val="000000"/>
          <w:sz w:val="26"/>
          <w:szCs w:val="26"/>
        </w:rPr>
        <w:t>4.4.7. Технические решения по РЗА и другим ИТС.</w:t>
      </w:r>
    </w:p>
    <w:p>
      <w:pPr>
        <w:pStyle w:val="Standard"/>
        <w:ind w:left="0" w:right="0" w:firstLine="709"/>
        <w:jc w:val="both"/>
        <w:rPr>
          <w:rFonts w:ascii="Liberation Serif" w:hAnsi="Liberation Serif"/>
          <w:sz w:val="26"/>
          <w:szCs w:val="26"/>
        </w:rPr>
      </w:pPr>
      <w:r>
        <w:rPr>
          <w:rFonts w:cs="Liberation Serif" w:ascii="Liberation Serif" w:hAnsi="Liberation Serif"/>
          <w:color w:val="000000"/>
          <w:sz w:val="26"/>
          <w:szCs w:val="26"/>
        </w:rPr>
        <w:t>В составе раздела с учетом результатов предпроектного обследования выполнить, определить и разработать:</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4.4.7.1. Состав вновь устанавливаемых устройств ИТС, в т.ч. РЗ, СА, ПА, РА и РАСП (РАС) каждого элемента проектируемого объекта (Т, шины, СКРМ и т.д.) и каждой отходящей ЛЭП с учетом максимально допустимого времени отключения КЗ.  Решения по установке на ПС устройств ИТС следует выполнять с применением Типовых шкафов.</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4.4.7.2. Схему размещения устройств ИТС, в т.ч. РЗ, СА, ПА, РА и РАСП (РАС) на объекте проектирования (Т, шины, СКРМ и т.д.) и в прилегающей сети с отражением используемых каналов связи (ВОЛС, ВЧ, другое) для передачи сигналов и команд РЗА, включая резервные каналы связи.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4.4.7.3. Технические и метрологические характеристики вторичных обмоток ТТ и ТН.</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4.4.7.4. Режимы АПВ ЛЭП и шин (ошиновок), в т.ч. алгоритмы АПВ (кратность, условия пуска, контроль напряжения на ЛЭП и шинах, контроль синхронизма и т.п.).</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4.4.7.5. Каналы, технологии и состав оборудования связи, используемые для целей РЗ, ПА, РА и РАСП, (количество ОВ, оборудования мультиплексирования (при обоснованном отказе организации работы РЗ, ПА и РА по выделенным волокнам волоконно-оптического кабеля) при организации ВОЛС).</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4.4.7.6. Обоснование (ориентировочные расчеты) требуемых номинальных первичных и вторичных токов ТТ, а также количества и номинальной мощности вторичных обмоток ТТ и ТН на основании обосновывающих расчетов с учетом видов устройств РЗ (дифференциальная защита трансформатора,  и т.д.), СА, ПА и РА их потребления, ориентировочных длин кабелей, значений токов КЗ и допустимой погрешности для каждого вида РЗА.</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4.4.7.7. Технические характеристики устанавливаемых/заменяемых ТТ и подключенных к ним устройств РЗА, а также технические характеристики существующих ТТ при подключении к ним новых/модернизируемых устройств РЗА в совокупности должны обеспечивать правильную работу устройств РЗА, в том числе в переходных режимах КЗ с учетом требований изготовителей устройств РЗА.</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4.4.7.8. ПНСТ 283-2018 «Трансформаторы измерительные. Часть 2. Технические условия на ТТ».</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4.4.7.9. ГОСТ Р 58669-2019 «Единая энергетическая система и изолированно работающие энергосистемы. Релейная защита. Трансформаторы тока измерительные индуктивные с замкнутым магнитопроводом для защиты. Методические указания по определению времени до насыщения при коротких замыканиях».</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4.4.7.10. Решения по регистрации аварийных событий и процессов с использованием РАСП (независимых устройств и функций, реализуемых в терминалах РЗА и оборудовании связи объектов электроэнергетики)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4.4.7.11. Схему организации передачи сигналов РЗ и ПА (ВОЛС, ВЧ каналы, другое) с учетом резервирования каналов (схему продублировать и согласовать в отдельном томе «Связь»).</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4.4.7.12. Перечень всех функций РЗА и ПА каждого защищаемого элемента сети (линия, трансформатор и др.), необходимых на данном объекте, анализ реализации выбранных функций на оборудовании разных производителей.</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4.4.7.13. Структурно-функциональные схемы устройств РЗА и ПА.</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4.4.7.14. Выполнение технико-экономического анализа вариантов применения оборудования с  протоколом информационного обмена: РЗА с серией стандартов Modbas/104 и МЭК 61850.</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4.4.7.15. Ориентировочный расчет параметров срабатывания устройств РЗ, СА с приложением карт уставок и необходимые для этого расчеты токов КЗ для:</w:t>
      </w:r>
    </w:p>
    <w:p>
      <w:pPr>
        <w:pStyle w:val="25"/>
        <w:numPr>
          <w:ilvl w:val="0"/>
          <w:numId w:val="4"/>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val="false"/>
          <w:i w:val="false"/>
          <w:color w:val="000000"/>
          <w:sz w:val="26"/>
          <w:szCs w:val="26"/>
        </w:rPr>
        <w:t>обоснования количественного состава устройств РЗ;</w:t>
      </w:r>
    </w:p>
    <w:p>
      <w:pPr>
        <w:pStyle w:val="25"/>
        <w:numPr>
          <w:ilvl w:val="0"/>
          <w:numId w:val="4"/>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val="false"/>
          <w:i w:val="false"/>
          <w:color w:val="000000"/>
          <w:sz w:val="26"/>
          <w:szCs w:val="26"/>
        </w:rPr>
        <w:t>обоснования требуемого количества и направленности ступеней резервных защит трансформатора;</w:t>
      </w:r>
    </w:p>
    <w:p>
      <w:pPr>
        <w:pStyle w:val="25"/>
        <w:numPr>
          <w:ilvl w:val="0"/>
          <w:numId w:val="4"/>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val="false"/>
          <w:i w:val="false"/>
          <w:color w:val="000000"/>
          <w:sz w:val="26"/>
          <w:szCs w:val="26"/>
        </w:rPr>
        <w:t>обоснования принятых коэффициентов трансформации ТТ дифференциальных защит для обеспечения программного выравнивания вторичных токов ТТ (без установки промежуточных ТТ).</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4.4.7.16. Ориентировочный расчет параметров срабатывания устройств ПА для подтверждения принципов выполнения и уточнения количественного состава устройств, в том числе обоснование:</w:t>
      </w:r>
    </w:p>
    <w:p>
      <w:pPr>
        <w:pStyle w:val="Standard"/>
        <w:numPr>
          <w:ilvl w:val="0"/>
          <w:numId w:val="5"/>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действия автоматики ограничения снижения напряжения (АОСН) на ПС 110-750 кВ на отключение (включение) шунтирующих реакторов, устройств СКРМ своей стороны и противоположных концов ВЛ;</w:t>
      </w:r>
    </w:p>
    <w:p>
      <w:pPr>
        <w:pStyle w:val="Standard"/>
        <w:numPr>
          <w:ilvl w:val="0"/>
          <w:numId w:val="5"/>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требуемого количества ступеней каждого из устройств ПА и действия каждой ступени;</w:t>
      </w:r>
    </w:p>
    <w:p>
      <w:pPr>
        <w:pStyle w:val="Standard"/>
        <w:numPr>
          <w:ilvl w:val="0"/>
          <w:numId w:val="5"/>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принципа выполнения и состава устройств и комплексов ПА, реализующих функцию предотвращения нарушения устойчивости (контролируемые сечения, пусковые органы, устройства контроля предшествующего режима, алгоритмы выбора управляющих воздействий и т.д.);</w:t>
      </w:r>
    </w:p>
    <w:p>
      <w:pPr>
        <w:pStyle w:val="Standard"/>
        <w:numPr>
          <w:ilvl w:val="0"/>
          <w:numId w:val="5"/>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алгоритмов устройств ПА;</w:t>
      </w:r>
    </w:p>
    <w:p>
      <w:pPr>
        <w:pStyle w:val="Standard"/>
        <w:numPr>
          <w:ilvl w:val="0"/>
          <w:numId w:val="5"/>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видов и объемов управляющих воздействий (ОГ, ОН и другие) и состава пусковых органов;</w:t>
      </w:r>
    </w:p>
    <w:p>
      <w:pPr>
        <w:pStyle w:val="Standard"/>
        <w:numPr>
          <w:ilvl w:val="0"/>
          <w:numId w:val="5"/>
        </w:numPr>
        <w:tabs>
          <w:tab w:val="clear" w:pos="709"/>
          <w:tab w:val="left" w:pos="993" w:leader="none"/>
        </w:tabs>
        <w:ind w:left="0" w:right="0" w:firstLine="709"/>
        <w:jc w:val="both"/>
        <w:rPr>
          <w:rFonts w:ascii="Liberation Serif" w:hAnsi="Liberation Serif"/>
          <w:sz w:val="26"/>
          <w:szCs w:val="26"/>
        </w:rPr>
      </w:pPr>
      <w:r>
        <w:rPr>
          <w:rFonts w:cs="Liberation Serif" w:ascii="Liberation Serif" w:hAnsi="Liberation Serif"/>
          <w:color w:val="000000"/>
          <w:sz w:val="26"/>
          <w:szCs w:val="26"/>
        </w:rPr>
        <w:t>объем управляющих воздействий и перечень присоединений, которые могут быть отключены устройствами ПА (ОН, АЧР).</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4.4.7.17. Обоснование (ориентировочные расчеты) требуемых номинальных первичных и вторичных токов трансформаторов тока, а также величин мощности вторичных обмоток трансформаторов тока и напряжения на основании обосновывающих расчетов с учетом видов устройств РЗА (продольная дифференциальная защита трансформаторов,  и т.п.) и ПА.</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4.4.7.18. Решения по оперативному управлению коммутационными аппаратами (КА) из центров диспетчерского управления и установки АРМ РЗА.</w:t>
      </w:r>
    </w:p>
    <w:p>
      <w:pPr>
        <w:pStyle w:val="Standard"/>
        <w:spacing w:before="0" w:after="0"/>
        <w:ind w:left="0" w:right="0" w:firstLine="709"/>
        <w:jc w:val="both"/>
        <w:rPr>
          <w:rFonts w:ascii="Liberation Serif" w:hAnsi="Liberation Serif" w:cs="Liberation Serif"/>
          <w:b/>
          <w:color w:val="000000"/>
          <w:sz w:val="26"/>
          <w:szCs w:val="26"/>
        </w:rPr>
      </w:pPr>
      <w:r>
        <w:rPr>
          <w:rFonts w:cs="Liberation Serif" w:ascii="Liberation Serif" w:hAnsi="Liberation Serif"/>
          <w:b/>
          <w:color w:val="000000"/>
          <w:sz w:val="26"/>
          <w:szCs w:val="26"/>
        </w:rPr>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b/>
          <w:color w:val="000000"/>
          <w:sz w:val="26"/>
          <w:szCs w:val="26"/>
        </w:rPr>
        <w:t>4.4.8.</w:t>
      </w:r>
      <w:r>
        <w:rPr>
          <w:rFonts w:cs="Liberation Serif" w:ascii="Liberation Serif" w:hAnsi="Liberation Serif"/>
          <w:color w:val="000000"/>
          <w:sz w:val="26"/>
          <w:szCs w:val="26"/>
        </w:rPr>
        <w:t xml:space="preserve"> </w:t>
      </w:r>
      <w:r>
        <w:rPr>
          <w:rFonts w:cs="Liberation Serif" w:ascii="Liberation Serif" w:hAnsi="Liberation Serif"/>
          <w:b/>
          <w:color w:val="000000"/>
          <w:sz w:val="26"/>
          <w:szCs w:val="26"/>
        </w:rPr>
        <w:t>В части технических решений по системе сбора и передачи информации (ССПИ) выполнить/определить:</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4.4.8.1. Перечень функциональных подсистем и задач ССПИ. Дать характеристику задач, решаемых в ССПИ, по каждой подсистеме.</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4.4.8.2. Структурную схему ССПИ ПС с обоснованием принятых решений, включая используемые каналы связи (основные, резервные) для передачи информации.</w:t>
      </w:r>
    </w:p>
    <w:p>
      <w:pPr>
        <w:pStyle w:val="Standard"/>
        <w:spacing w:before="0" w:after="0"/>
        <w:ind w:left="0" w:right="0" w:firstLine="709"/>
        <w:jc w:val="both"/>
        <w:rPr>
          <w:color w:val="auto"/>
        </w:rPr>
      </w:pPr>
      <w:r>
        <w:rPr>
          <w:rFonts w:cs="Liberation Serif" w:ascii="Liberation Serif" w:hAnsi="Liberation Serif"/>
          <w:color w:val="auto"/>
          <w:sz w:val="26"/>
          <w:szCs w:val="26"/>
        </w:rPr>
        <w:t>4.4.8.3. Состав оборудования. Решение по использованию оборудования при создании ССПИ ПС. Технические средства должны соответствовать требованиям Постановления Правительства РФ от 17.07.2015 №719 «О подтверждении производства промышленной продукции на территории РФ», в том числе должны подтверждаться наличием действующих записей в реестре российской промышленной продукции в государственной информационной системе промышленности Минпромторг России (https://gisp.gov.ru/) и/или Реестре радиоэлектронной продукции ПП РФ № 878.</w:t>
      </w:r>
    </w:p>
    <w:p>
      <w:pPr>
        <w:pStyle w:val="Standard"/>
        <w:spacing w:before="0" w:after="0"/>
        <w:ind w:left="0" w:right="0" w:firstLine="709"/>
        <w:jc w:val="both"/>
        <w:rPr>
          <w:color w:val="auto"/>
        </w:rPr>
      </w:pPr>
      <w:r>
        <w:rPr>
          <w:rFonts w:cs="Liberation Serif" w:ascii="Liberation Serif" w:hAnsi="Liberation Serif"/>
          <w:color w:val="auto"/>
          <w:sz w:val="26"/>
          <w:szCs w:val="26"/>
        </w:rPr>
        <w:t>4.4.8.4. Структурную схему ССПИ. При создании схем организации каналов связи необходимо учесть требования СТО 59012820.35.110.002-2022 от 25.03.2022 и ГОСТ Р 71962-2025.</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4.4.8.5. Определить общее количество сигналов по каждому типу оборудованию.</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4.4.8.6. Перечень сигналов ТИ, ТС, АПТС для передачи в ЦУС филиала АО «ДРСК» Амурские ЭС,  представить в виде таблицы, которая должна содержать:</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4.4.8.7. диспетчерское наименование присоединения, системы (секции) шин;</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4.4.8.8. перечень сигналов ТИ, ТС, АПТС и ДУ, передаваемых в ЦУС филиала АО «ДРСК» Амурские ЭС;</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4.4.8.9. Решения по интеграции (информационному обмену) в ССПИ устройств РЗ и ПА,  взаимодействие с оборудованием системы связи на основе стандартных протоколов.</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4.4.8.10. Рассмотреть решения по организации ДУ из ЦУС филиала АО «ДРСК» Амурские ЭС с обязательным соблюдением требований следующих документов:</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4.4.8.11. ГОСТ Р 59948-2021 Единая энергетическая система и изолированно работающие энергосистемы. Оперативно-диспетчерское управление. Дистанционное управление. Требования к управлению электросетевым оборудованием и устройствами релейной защиты и автоматики;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4.4.8.12. ГОСТ Р 59947-2021 Единая энергетическая система и изолированно работающие энергосистемы. Оперативно-диспетчерское управление. Дистанционное управление. Требования к информационному обмену при организации и осуществлении дистанционного управления.</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4.4.8.13. Решения по организации электропитания устройств ССПИ.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4.4.8.14. Решения по организации системы сигнализации.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4.4.8.15. Обеспечение инфраструктуры, включая подготовку помещений, в том числе создание систем жизнеобеспечения (система централизованного климат-контроля, кондиционирования, пожарной сигнализации и т.п.).</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4.4.8.16. Решения по информационной безопасности ССПИ.</w:t>
      </w:r>
    </w:p>
    <w:p>
      <w:pPr>
        <w:pStyle w:val="19"/>
        <w:ind w:left="0" w:right="0" w:firstLine="709"/>
        <w:jc w:val="both"/>
        <w:rPr>
          <w:rFonts w:ascii="Liberation Serif" w:hAnsi="Liberation Serif"/>
          <w:sz w:val="26"/>
          <w:szCs w:val="26"/>
        </w:rPr>
      </w:pPr>
      <w:r>
        <w:rPr>
          <w:rFonts w:cs="Liberation Serif" w:ascii="Liberation Serif" w:hAnsi="Liberation Serif"/>
          <w:sz w:val="26"/>
          <w:szCs w:val="26"/>
        </w:rPr>
        <w:t>4.4.8.17. Выполнение технико-экономического анализа вариантов применения оборудования с  протоколом информационного обмена: ССПИ с серией стандартов МЭК 101/104 и МЭК 61850.</w:t>
      </w:r>
    </w:p>
    <w:p>
      <w:pPr>
        <w:pStyle w:val="19"/>
        <w:ind w:left="0" w:right="0" w:firstLine="709"/>
        <w:jc w:val="both"/>
        <w:rPr>
          <w:rFonts w:ascii="Liberation Serif" w:hAnsi="Liberation Serif"/>
          <w:sz w:val="26"/>
          <w:szCs w:val="26"/>
        </w:rPr>
      </w:pPr>
      <w:r>
        <w:rPr>
          <w:rFonts w:cs="Liberation Serif" w:ascii="Liberation Serif" w:hAnsi="Liberation Serif"/>
          <w:sz w:val="26"/>
          <w:szCs w:val="26"/>
        </w:rPr>
        <w:t>4.4.8.18. ССПИ должна соответствовать требованиям ГОСТ Р 71635—2024 Единая энергетическая система и изолированно работающие энергосистемы. Оперативно-диспетчерское управление. Системы сбора и передачи информации с объектов электроэнергетики в диспетчерские центры субъекта оперативно-диспетчерского управления в электроэнергетике. Нормы и требования.</w:t>
      </w:r>
    </w:p>
    <w:p>
      <w:pPr>
        <w:pStyle w:val="Standard"/>
        <w:spacing w:before="0" w:after="0"/>
        <w:ind w:left="0" w:right="0" w:firstLine="709"/>
        <w:jc w:val="both"/>
        <w:rPr>
          <w:rFonts w:ascii="Liberation Serif" w:hAnsi="Liberation Serif" w:cs="Liberation Serif"/>
          <w:color w:val="000000"/>
          <w:sz w:val="26"/>
          <w:szCs w:val="26"/>
        </w:rPr>
      </w:pPr>
      <w:r>
        <w:rPr>
          <w:rFonts w:cs="Liberation Serif" w:ascii="Liberation Serif" w:hAnsi="Liberation Serif"/>
          <w:color w:val="000000"/>
          <w:sz w:val="26"/>
          <w:szCs w:val="26"/>
        </w:rPr>
      </w:r>
    </w:p>
    <w:p>
      <w:pPr>
        <w:pStyle w:val="Standard"/>
        <w:spacing w:before="0" w:after="0"/>
        <w:ind w:left="1429" w:right="0" w:hanging="720"/>
        <w:jc w:val="both"/>
        <w:rPr>
          <w:rFonts w:ascii="Liberation Serif" w:hAnsi="Liberation Serif"/>
          <w:sz w:val="26"/>
          <w:szCs w:val="26"/>
        </w:rPr>
      </w:pPr>
      <w:r>
        <w:rPr>
          <w:rFonts w:cs="Liberation Serif" w:ascii="Liberation Serif" w:hAnsi="Liberation Serif"/>
          <w:b/>
          <w:color w:val="000000"/>
          <w:sz w:val="26"/>
          <w:szCs w:val="26"/>
        </w:rPr>
        <w:t>4.4.9. В части создания/модернизации систем связи выполнить/определить:</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4.4.9.1. Комплекс внутриобъектовой связи включая локальную вычислительную сеть (ЛВС),  телефонной связи для ведения оперативных переговоров. Состав и объем внутриобъектной связи уточнить в проектной документации с учетом решений по диспетчерско-технологическому управлению ПС (с постоянным или без постоянного обслуживающего персонала).</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4.4.9.2. Инфраструктура и система жизнеобеспечения оборудования систем связи.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4.4.9.3. В составе проектной документации должны быть разработаны и обоснованы организационно-технические решения по созданию новых и модернизации существующих систем связи, включая:</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4.4.9.4. Линейную схему организации связи, с учётом собственников ВОК.</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4.4.9.5. Общую схему организации связи.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4.4.9.6. Таблицу распределения информационных потоков.</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4.4.9.7. Схемы сопряжение со смежными системами связи, а также решения по подключению технологических и корпоративных систем объекта (ССПИ, АИИС КУЭ, диспетчерской и корпоративной телефонной связи, и других сетей) к системам связи.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4.4.9.8. Организационно-технические решения по созданию автоматизированной информационно-измерительной системе коммерческого учета электроэнергии (АИИС КУЭ) на проектируемом объекте выполнить отдельным томом.</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4.4.9.9. Выполнить (отдельным томом) организационно-технические решения по созданию систем связи для передачи корпоративной и технологической информации. Состав проектируемых систем связи определяется для каждого конкретного проекта.</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4.4.9.10. Для волоконно-оптических линий связи (ВОЛС), определить направления и линии, по которым будет проектироваться ВОЛС, обеспечивающие связь между следующими объектами: ПС  110 кВ Центральная, ПС 110 кВ Кирпичная.</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4.4.9.11. Решения по электромагнитной совместимости устройств РЗА, ПА, ССПИ, АИИС КУЭ, связи, обеспечивающих их нормальную работу, с отражением в отдельном разделе.</w:t>
      </w:r>
    </w:p>
    <w:p>
      <w:pPr>
        <w:pStyle w:val="19"/>
        <w:ind w:left="0" w:right="0" w:firstLine="709"/>
        <w:jc w:val="both"/>
        <w:rPr>
          <w:rFonts w:ascii="Liberation Serif" w:hAnsi="Liberation Serif"/>
          <w:sz w:val="26"/>
          <w:szCs w:val="26"/>
        </w:rPr>
      </w:pPr>
      <w:r>
        <w:rPr>
          <w:rFonts w:cs="Liberation Serif" w:ascii="Liberation Serif" w:hAnsi="Liberation Serif"/>
          <w:sz w:val="26"/>
          <w:szCs w:val="26"/>
        </w:rPr>
        <w:t>4.4.9.12. Решения по организации электропитания систем РЗА, ПА, ССПИ, систем связи и других систем.</w:t>
      </w:r>
    </w:p>
    <w:p>
      <w:pPr>
        <w:pStyle w:val="19"/>
        <w:ind w:left="0" w:right="0" w:firstLine="709"/>
        <w:jc w:val="both"/>
        <w:rPr>
          <w:rFonts w:ascii="Liberation Serif" w:hAnsi="Liberation Serif"/>
          <w:sz w:val="26"/>
          <w:szCs w:val="26"/>
        </w:rPr>
      </w:pPr>
      <w:r>
        <w:rPr>
          <w:rFonts w:cs="Liberation Serif" w:ascii="Liberation Serif" w:hAnsi="Liberation Serif"/>
          <w:sz w:val="26"/>
          <w:szCs w:val="26"/>
        </w:rPr>
        <w:t>4.4.9.13. Решения по организации каналов сбора и передачи телеинформации по двум независимым каналам связи, исключающим возможность одновременного отказа по общей причине включающие:</w:t>
      </w:r>
    </w:p>
    <w:p>
      <w:pPr>
        <w:pStyle w:val="19"/>
        <w:ind w:left="0" w:right="0" w:firstLine="709"/>
        <w:jc w:val="both"/>
        <w:rPr>
          <w:rFonts w:ascii="Liberation Serif" w:hAnsi="Liberation Serif"/>
          <w:sz w:val="26"/>
          <w:szCs w:val="26"/>
        </w:rPr>
      </w:pPr>
      <w:r>
        <w:rPr>
          <w:rFonts w:cs="Liberation Serif" w:ascii="Liberation Serif" w:hAnsi="Liberation Serif"/>
          <w:sz w:val="26"/>
          <w:szCs w:val="26"/>
        </w:rPr>
        <w:t>‒</w:t>
      </w:r>
      <w:r>
        <w:rPr>
          <w:rFonts w:cs="Liberation Serif" w:ascii="Liberation Serif" w:hAnsi="Liberation Serif"/>
          <w:sz w:val="26"/>
          <w:szCs w:val="26"/>
        </w:rPr>
        <w:tab/>
        <w:t>схемы (физическая и логическая) организации каналов сбора и передачи телеинформации ;</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w:t>
      </w:r>
      <w:r>
        <w:rPr>
          <w:rFonts w:cs="Liberation Serif" w:ascii="Liberation Serif" w:hAnsi="Liberation Serif"/>
          <w:color w:val="000000"/>
          <w:sz w:val="26"/>
          <w:szCs w:val="26"/>
        </w:rPr>
        <w:tab/>
        <w:t>таблицу (матрицу) информационных потоков с указанием количества, типов интерфейсов, трасс прохождения каналов связи и точек промежуточной коммутации (обработки).</w:t>
      </w:r>
    </w:p>
    <w:p>
      <w:pPr>
        <w:pStyle w:val="Standard"/>
        <w:spacing w:before="0" w:after="0"/>
        <w:ind w:left="0" w:right="0" w:firstLine="709"/>
        <w:jc w:val="both"/>
        <w:rPr>
          <w:rFonts w:ascii="Liberation Serif" w:hAnsi="Liberation Serif" w:cs="Liberation Serif"/>
          <w:color w:val="000000"/>
          <w:sz w:val="26"/>
          <w:szCs w:val="26"/>
        </w:rPr>
      </w:pPr>
      <w:r>
        <w:rPr>
          <w:rFonts w:cs="Liberation Serif" w:ascii="Liberation Serif" w:hAnsi="Liberation Serif"/>
          <w:color w:val="000000"/>
          <w:sz w:val="26"/>
          <w:szCs w:val="26"/>
        </w:rPr>
      </w:r>
    </w:p>
    <w:p>
      <w:pPr>
        <w:pStyle w:val="Standard"/>
        <w:spacing w:before="0" w:after="0"/>
        <w:ind w:left="1429" w:right="0" w:hanging="720"/>
        <w:jc w:val="both"/>
        <w:rPr>
          <w:rFonts w:ascii="Liberation Serif" w:hAnsi="Liberation Serif"/>
          <w:sz w:val="26"/>
          <w:szCs w:val="26"/>
        </w:rPr>
      </w:pPr>
      <w:r>
        <w:rPr>
          <w:rFonts w:cs="Liberation Serif" w:ascii="Liberation Serif" w:hAnsi="Liberation Serif"/>
          <w:b/>
          <w:color w:val="000000"/>
          <w:sz w:val="26"/>
          <w:szCs w:val="26"/>
        </w:rPr>
        <w:t>4.4.10. В части общих положений выполнить/определить:</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Разработать и выдать сметную документацию, в соответствии с п.28 Положения о составе разделов проектной документации и требованиях к их содержанию. </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Разработать и выдать конкурсную документацию в объеме, достаточном для проведения закупок подрядных работ на выполнение СМР, техническую документацию для проведения закупок оборудования и материалов.</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По результатам III этапа выполненные проектные материалы с пояснительной запиской предоставить Заказчику для последующего рассмотрения и согласования с профильными структурными подразделениями АО «ДРСК» и Амурским РДУ.</w:t>
      </w:r>
    </w:p>
    <w:p>
      <w:pPr>
        <w:pStyle w:val="Standard"/>
        <w:spacing w:before="0" w:after="0"/>
        <w:ind w:left="0" w:right="0" w:firstLine="708"/>
        <w:jc w:val="both"/>
        <w:rPr>
          <w:rFonts w:ascii="Liberation Serif" w:hAnsi="Liberation Serif"/>
          <w:sz w:val="26"/>
          <w:szCs w:val="26"/>
        </w:rPr>
      </w:pPr>
      <w:r>
        <w:rPr>
          <w:rFonts w:cs="Liberation Serif" w:ascii="Liberation Serif" w:hAnsi="Liberation Serif"/>
          <w:color w:val="000000"/>
          <w:sz w:val="26"/>
          <w:szCs w:val="26"/>
        </w:rPr>
        <w:t>Одновременно с первичным направлением на рассмотрение и согласование томов ПД Заказчику и в Амурское РДУ направляется перечень томов ПД, подготавливаемых в рамках настоящего инвестиционного проекта.</w:t>
      </w:r>
    </w:p>
    <w:p>
      <w:pPr>
        <w:pStyle w:val="19"/>
        <w:widowControl w:val="false"/>
        <w:tabs>
          <w:tab w:val="clear" w:pos="709"/>
          <w:tab w:val="left" w:pos="1080" w:leader="none"/>
        </w:tabs>
        <w:ind w:left="0" w:right="0" w:firstLine="709"/>
        <w:jc w:val="both"/>
        <w:rPr>
          <w:rFonts w:ascii="Liberation Serif" w:hAnsi="Liberation Serif"/>
          <w:sz w:val="26"/>
          <w:szCs w:val="26"/>
        </w:rPr>
      </w:pPr>
      <w:r>
        <w:rPr>
          <w:rFonts w:ascii="Liberation Serif" w:hAnsi="Liberation Serif"/>
          <w:sz w:val="26"/>
          <w:szCs w:val="26"/>
        </w:rPr>
        <w:t xml:space="preserve">Проектная документация, выполненная на </w:t>
      </w:r>
      <w:r>
        <w:rPr>
          <w:rFonts w:ascii="Liberation Serif" w:hAnsi="Liberation Serif"/>
          <w:sz w:val="26"/>
          <w:szCs w:val="26"/>
          <w:lang w:val="en-US"/>
        </w:rPr>
        <w:t>III</w:t>
      </w:r>
      <w:r>
        <w:rPr>
          <w:rFonts w:ascii="Liberation Serif" w:hAnsi="Liberation Serif"/>
          <w:sz w:val="26"/>
          <w:szCs w:val="26"/>
        </w:rPr>
        <w:t xml:space="preserve"> этапе, должна быть согласована в требуемом объеме с АО «ДРСК», Амурским РДУ, </w:t>
      </w:r>
      <w:r>
        <w:rPr>
          <w:rFonts w:ascii="Liberation Serif" w:hAnsi="Liberation Serif"/>
          <w:color w:val="0808FF"/>
          <w:sz w:val="26"/>
          <w:szCs w:val="26"/>
          <w:shd w:fill="auto" w:val="clear"/>
        </w:rPr>
        <w:t xml:space="preserve">с ПАО «Россети»-МЭС Востока (согласно требованиям пункт 3.1 технических условий, выданных ПАО «Россети» – МЭС Востока от 13.12.2024, </w:t>
      </w:r>
      <w:r>
        <w:rPr>
          <w:rFonts w:ascii="Liberation Serif" w:hAnsi="Liberation Serif"/>
          <w:i/>
          <w:iCs/>
          <w:color w:val="0808FF"/>
          <w:sz w:val="26"/>
          <w:szCs w:val="26"/>
          <w:shd w:fill="auto" w:val="clear"/>
        </w:rPr>
        <w:t>приложение 15</w:t>
      </w:r>
      <w:r>
        <w:rPr>
          <w:rFonts w:ascii="Liberation Serif" w:hAnsi="Liberation Serif"/>
          <w:color w:val="0808FF"/>
          <w:sz w:val="26"/>
          <w:szCs w:val="26"/>
          <w:shd w:fill="auto" w:val="clear"/>
        </w:rPr>
        <w:t>)</w:t>
      </w:r>
      <w:r>
        <w:rPr>
          <w:rFonts w:ascii="Liberation Serif" w:hAnsi="Liberation Serif"/>
          <w:sz w:val="26"/>
          <w:szCs w:val="26"/>
          <w:shd w:fill="auto" w:val="clear"/>
        </w:rPr>
        <w:t xml:space="preserve"> и, при необходимости, с субъектами электроэнер</w:t>
      </w:r>
      <w:r>
        <w:rPr>
          <w:rFonts w:ascii="Liberation Serif" w:hAnsi="Liberation Serif"/>
          <w:sz w:val="26"/>
          <w:szCs w:val="26"/>
        </w:rPr>
        <w:t>гетики - собственниками объектов электроэнергетики, технологически связанных с объектом проектирования, до направления ПД на государственную экспертизу.</w:t>
      </w:r>
    </w:p>
    <w:p>
      <w:pPr>
        <w:pStyle w:val="Standard"/>
        <w:spacing w:before="0" w:after="0"/>
        <w:ind w:left="0" w:right="0" w:firstLine="708"/>
        <w:jc w:val="both"/>
        <w:rPr>
          <w:rFonts w:ascii="Liberation Serif" w:hAnsi="Liberation Serif"/>
          <w:sz w:val="26"/>
          <w:szCs w:val="26"/>
        </w:rPr>
      </w:pPr>
      <w:r>
        <w:rPr>
          <w:rFonts w:cs="Liberation Serif" w:ascii="Liberation Serif" w:hAnsi="Liberation Serif"/>
          <w:color w:val="000000"/>
          <w:sz w:val="26"/>
          <w:szCs w:val="26"/>
        </w:rPr>
        <w:t>Подрядчик обеспечивает проведение по доверенности Заказчика Государственной экспертизы проектной документации и результатов инженерных изысканий, проверку достоверности определения сметной стоимости строительства (в течение 3-х месяцев после разработки).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Одновременно с момента начала работ по проектированию Подрядчиком организовываются и выполняются работы, предусмотренные этапом 4.</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i/>
          <w:color w:val="000000"/>
          <w:sz w:val="26"/>
          <w:szCs w:val="26"/>
          <w:lang w:val="en-US"/>
        </w:rPr>
        <w:t>III</w:t>
      </w:r>
      <w:r>
        <w:rPr>
          <w:rFonts w:cs="Liberation Serif" w:ascii="Liberation Serif" w:hAnsi="Liberation Serif"/>
          <w:i/>
          <w:color w:val="000000"/>
          <w:sz w:val="26"/>
          <w:szCs w:val="26"/>
        </w:rPr>
        <w:t xml:space="preserve"> этап считается выполненным после предоставления Заказчику положительного заключения государственной экспертизы проектной документации, результатов инженерных изысканий, проведения проверки достоверности определения сметной стоимости объектов капитального строительства, пройденной в учреждении Государственной экспертизы.</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i/>
          <w:color w:val="000000"/>
          <w:sz w:val="26"/>
          <w:szCs w:val="26"/>
        </w:rPr>
        <w:t>Cрок выполнения: в течение 6-и месяцев с момента окончания работ по I -му этапу.</w:t>
      </w:r>
    </w:p>
    <w:p>
      <w:pPr>
        <w:pStyle w:val="Standard"/>
        <w:tabs>
          <w:tab w:val="clear" w:pos="709"/>
          <w:tab w:val="left" w:pos="1078" w:leader="none"/>
        </w:tabs>
        <w:spacing w:before="0" w:after="0"/>
        <w:ind w:left="0" w:right="0" w:firstLine="709"/>
        <w:jc w:val="both"/>
        <w:rPr>
          <w:rFonts w:ascii="Liberation Serif" w:hAnsi="Liberation Serif" w:cs="Liberation Serif"/>
          <w:color w:val="000000"/>
          <w:sz w:val="26"/>
          <w:szCs w:val="26"/>
        </w:rPr>
      </w:pPr>
      <w:r>
        <w:rPr>
          <w:rFonts w:cs="Liberation Serif" w:ascii="Liberation Serif" w:hAnsi="Liberation Serif"/>
          <w:color w:val="000000"/>
          <w:sz w:val="26"/>
          <w:szCs w:val="26"/>
        </w:rPr>
      </w:r>
    </w:p>
    <w:p>
      <w:pPr>
        <w:pStyle w:val="Standard"/>
        <w:tabs>
          <w:tab w:val="clear" w:pos="709"/>
          <w:tab w:val="left" w:pos="1078" w:leader="none"/>
        </w:tabs>
        <w:spacing w:before="0" w:after="0"/>
        <w:ind w:left="0" w:right="0" w:firstLine="709"/>
        <w:rPr>
          <w:rFonts w:ascii="Liberation Serif" w:hAnsi="Liberation Serif"/>
          <w:sz w:val="26"/>
          <w:szCs w:val="26"/>
        </w:rPr>
      </w:pPr>
      <w:r>
        <w:rPr>
          <w:rFonts w:cs="Liberation Serif" w:ascii="Liberation Serif" w:hAnsi="Liberation Serif"/>
          <w:b/>
          <w:color w:val="000000"/>
          <w:sz w:val="26"/>
          <w:szCs w:val="26"/>
        </w:rPr>
        <w:t>4.5.</w:t>
      </w:r>
      <w:r>
        <w:rPr>
          <w:rFonts w:cs="Liberation Serif" w:ascii="Liberation Serif" w:hAnsi="Liberation Serif"/>
          <w:color w:val="000000"/>
          <w:sz w:val="26"/>
          <w:szCs w:val="26"/>
        </w:rPr>
        <w:t xml:space="preserve"> </w:t>
      </w:r>
      <w:r>
        <w:rPr>
          <w:rFonts w:cs="Liberation Serif" w:ascii="Liberation Serif" w:hAnsi="Liberation Serif"/>
          <w:b/>
          <w:color w:val="000000"/>
          <w:sz w:val="26"/>
          <w:szCs w:val="26"/>
        </w:rPr>
        <w:t>IV этап - Оформление правоустанавливающих документов на использование земельных участков.</w:t>
      </w:r>
    </w:p>
    <w:p>
      <w:pPr>
        <w:pStyle w:val="Standard"/>
        <w:tabs>
          <w:tab w:val="clear" w:pos="709"/>
          <w:tab w:val="left" w:pos="566"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4.5.1. Подготовить в форме электронного документа в отношении проектируемых объектов сведения о границах сервитута,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(МСК 28). В отношении объектов, указанных в п.3.1., 3.2. данные документы подготовить на основании утвержденной документации по планировке территории.</w:t>
      </w:r>
    </w:p>
    <w:p>
      <w:pPr>
        <w:pStyle w:val="Standard"/>
        <w:tabs>
          <w:tab w:val="clear" w:pos="709"/>
          <w:tab w:val="left" w:pos="566"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4.5.2. Подготовить  в форме электронного документа в отношении проектируемых объектов схему расположения земельного участка на кадастровом плане территории (при необходимости).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Схема расположения земельного участка на кадастровом плане территории подготавливается , в том числе отношении смежных земельных участков </w:t>
      </w:r>
      <w:r>
        <w:rPr>
          <w:rFonts w:cs="Liberation Serif" w:ascii="Liberation Serif" w:hAnsi="Liberation Serif"/>
          <w:color w:val="000000"/>
          <w:sz w:val="26"/>
          <w:szCs w:val="26"/>
          <w:shd w:fill="FFFFFF" w:val="clear"/>
        </w:rPr>
        <w:t>для возможности строительства проектируемого объекта (</w:t>
      </w:r>
      <w:r>
        <w:rPr>
          <w:rFonts w:cs="Liberation Serif" w:ascii="Liberation Serif" w:hAnsi="Liberation Serif"/>
          <w:color w:val="000000"/>
          <w:sz w:val="26"/>
          <w:szCs w:val="26"/>
        </w:rPr>
        <w:t>при необходимости)</w:t>
      </w:r>
      <w:r>
        <w:rPr>
          <w:rFonts w:cs="Liberation Serif" w:ascii="Liberation Serif" w:hAnsi="Liberation Serif"/>
          <w:color w:val="000000"/>
          <w:sz w:val="26"/>
          <w:szCs w:val="26"/>
          <w:shd w:fill="FFFFFF" w:val="clear"/>
        </w:rPr>
        <w:t>.</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4.5.3. Передать сведения о границах сервитута, границах публичного сервитута Заказчику. Заказчик, после получения указанных документов, направляет в уполномоченный орган ходатайство об установлении сервитута.</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4.5.4. Обеспечить подготовку межевого плана, содержащего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обратится в уполномоченный орган за осуществлением государственного кадастрового учета указанной части земельного участка (при необходимости).</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i/>
          <w:color w:val="000000"/>
          <w:sz w:val="26"/>
          <w:szCs w:val="26"/>
        </w:rPr>
        <w:t>IV этап считается выполненным после предоставления Заказчику следующих документов:</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Оригиналы правоустанавливающих и (или) правоподтверждающих документов Заказчика на земельный участок, полученные в ходе работ, и заверенные в установленном порядке копии правоустанавливающих и (или) правоподтверждающих документов третьих лиц на земельный участок, свидетельствующих о наличии либо отсутствии прав третьих лиц на земельный участок (его часть) и (или) прав на объекты недвижимости при наличии таковых в электронном виде, а также на бумажном носителе, на каждый земельный участок отдельно;</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xml:space="preserve">- решение об утверждении схемы расположения земельного участка на кадастровом плане территории, утвержденный уполномоченным органом исполнительной власти, в 2 оригинальных экземплярах на бумажном носителе, на каждый земельный участок отдельно (при выполнении данных работ); </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решение об установлении публичного сервитута, принятое уполномоченным органом, в 1 экземпляре на бумажном носителе;</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межевой план земельного участка, оформленный в соответствии с требованиями, установленными Приказом Росреестра от 14.12.2021 N П/0592 "Об утверждении формы и состава сведений межевого плана, требований к его подготовке" в 1 экземпляре на бумажном носителе и в электронном формате *xml, на каждый земельный участок отдельно (при подготовке данного документа);</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графическое описание границ публичного сервитута, оформленное в соответствии с требованиями, установленными Приказом Росреестра от 13.01.2021 N П/0004 в 2 экземплярах на бумажном носителе и в электронном формате *XML, созданного с использованием XML-схем, на каждое решение об установлении сервитута, принятое уполномоченным органом власти, отдельно;</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 выписка из ЕГРН о зоне с особыми условиями использования территории в электронном виде;</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i/>
          <w:color w:val="000000"/>
          <w:sz w:val="26"/>
          <w:szCs w:val="26"/>
        </w:rPr>
        <w:t>Срок выполнения:</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i/>
          <w:color w:val="000000"/>
          <w:sz w:val="26"/>
          <w:szCs w:val="26"/>
        </w:rPr>
        <w:t xml:space="preserve">- в отношении объектов, указанных в п.3.1., 3.2. настоящего Задания - в течение 2-х месяцев после окончания II этапа работ; </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i/>
          <w:color w:val="000000"/>
          <w:sz w:val="26"/>
          <w:szCs w:val="26"/>
        </w:rPr>
        <w:t>- в отношении объектов, указанных в п.3.3. настоящего Задания - в течение 2-х месяцев, после окончания I этапа работ.</w:t>
      </w:r>
    </w:p>
    <w:p>
      <w:pPr>
        <w:pStyle w:val="Standard"/>
        <w:tabs>
          <w:tab w:val="clear" w:pos="709"/>
          <w:tab w:val="left" w:pos="1078" w:leader="none"/>
        </w:tabs>
        <w:spacing w:before="0" w:after="0"/>
        <w:ind w:left="0" w:right="0" w:firstLine="709"/>
        <w:jc w:val="both"/>
        <w:rPr>
          <w:rFonts w:ascii="Liberation Serif" w:hAnsi="Liberation Serif" w:cs="Liberation Serif"/>
          <w:color w:val="FF0000"/>
          <w:sz w:val="26"/>
          <w:szCs w:val="26"/>
        </w:rPr>
      </w:pPr>
      <w:r>
        <w:rPr>
          <w:rFonts w:cs="Liberation Serif" w:ascii="Liberation Serif" w:hAnsi="Liberation Serif"/>
          <w:color w:val="FF0000"/>
          <w:sz w:val="26"/>
          <w:szCs w:val="26"/>
        </w:rPr>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b/>
          <w:color w:val="000000"/>
          <w:sz w:val="26"/>
          <w:szCs w:val="26"/>
        </w:rPr>
        <w:t>4.6. V этап</w:t>
      </w:r>
      <w:r>
        <w:rPr>
          <w:rFonts w:cs="Liberation Serif" w:ascii="Liberation Serif" w:hAnsi="Liberation Serif"/>
          <w:color w:val="000000"/>
          <w:sz w:val="26"/>
          <w:szCs w:val="26"/>
        </w:rPr>
        <w:t xml:space="preserve"> - </w:t>
      </w:r>
      <w:r>
        <w:rPr>
          <w:rFonts w:cs="Liberation Serif" w:ascii="Liberation Serif" w:hAnsi="Liberation Serif"/>
          <w:b/>
          <w:color w:val="000000"/>
          <w:sz w:val="26"/>
          <w:szCs w:val="26"/>
        </w:rPr>
        <w:t>Проведение государственной экспертизы проектной документации и результатов инженерных изысканий, достоверности сметной стоимости строительства.</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4.6.1. Подрядчик от лица Заказчика (на основании доверенности) обеспечивает проведение государственной экспертизы проектной документации и результатов инженерных изысканий, проверку достоверности определения сметной стоимости строительства (в течение 2-х месяцев после разработки).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4.6.2. Подрядчик обеспечивает получение положительного заключения государственной экспертизы проектной документации и результатов инженерных изысканий, заключение о достоверности определения сметной стоимости строительства.</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4.6.3. Подрядчик устраняет за свой счет все замечания к проектной документации, полученные от Заказчика и гос. экспертизы в течение 7 (семи) рабочих дней после их получения, но не позднее срока окончания гос. экспертизы, установленного в договоре на проведение государственной экспертизы.</w:t>
      </w:r>
    </w:p>
    <w:p>
      <w:pPr>
        <w:pStyle w:val="Standard"/>
        <w:tabs>
          <w:tab w:val="clear" w:pos="709"/>
          <w:tab w:val="left" w:pos="566"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4.6.4. При повторном обращении в гос.экспертизу, необходимость которого возникла вследствие неустранения или ненадлежащего устранения Подрядчиком замечаний при проведении гос.экспертизы, расходы по проведению повторной и последующих экспертиз проектной документации компенсируются Подрядчиком.</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i/>
          <w:color w:val="000000"/>
          <w:sz w:val="26"/>
          <w:szCs w:val="26"/>
        </w:rPr>
        <w:t>4.6.5. V этап считается выполненным после получения положительного заключения государственной экспертизы проектной документации и результатов инженерных изысканий, заключения о достоверности определения сметной стоимости строительства.</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i/>
          <w:color w:val="000000"/>
          <w:sz w:val="26"/>
          <w:szCs w:val="26"/>
        </w:rPr>
        <w:t>Срок выполнения в течение 2-х  месяцев, но не более срока, установленного Градостроительным законодательством.</w:t>
      </w:r>
    </w:p>
    <w:p>
      <w:pPr>
        <w:pStyle w:val="Standard"/>
        <w:tabs>
          <w:tab w:val="clear" w:pos="709"/>
          <w:tab w:val="left" w:pos="1078" w:leader="none"/>
        </w:tabs>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4.6.6. Оплата счета, выставленного ГАУ «Амургосэкспертиза», осуществляется Заказчиком..</w:t>
      </w:r>
    </w:p>
    <w:p>
      <w:pPr>
        <w:pStyle w:val="Standard"/>
        <w:tabs>
          <w:tab w:val="clear" w:pos="709"/>
          <w:tab w:val="left" w:pos="1078" w:leader="none"/>
        </w:tabs>
        <w:spacing w:before="0" w:after="0"/>
        <w:ind w:left="0" w:right="0" w:firstLine="709"/>
        <w:rPr>
          <w:rFonts w:ascii="Liberation Serif" w:hAnsi="Liberation Serif" w:cs="Liberation Serif"/>
          <w:b/>
          <w:color w:val="000000"/>
          <w:sz w:val="26"/>
          <w:szCs w:val="26"/>
        </w:rPr>
      </w:pPr>
      <w:r>
        <w:rPr>
          <w:rFonts w:cs="Liberation Serif" w:ascii="Liberation Serif" w:hAnsi="Liberation Serif"/>
          <w:b/>
          <w:color w:val="000000"/>
          <w:sz w:val="26"/>
          <w:szCs w:val="26"/>
        </w:rPr>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b/>
          <w:color w:val="000000"/>
          <w:sz w:val="26"/>
          <w:szCs w:val="26"/>
        </w:rPr>
        <w:t>4.7. VI этап – разработка и согласование с АО «ДРСК» и Амурским РДУ рабочей документации:</w:t>
      </w:r>
    </w:p>
    <w:p>
      <w:pPr>
        <w:pStyle w:val="Standard"/>
        <w:numPr>
          <w:ilvl w:val="3"/>
          <w:numId w:val="6"/>
        </w:numPr>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Разработать рабочую документацию, обеспечивающую реализацию принятых в утвержденной проектной документации технических решений объекта, необходимых для производства строительно-монтажных и пусконаладочных работ, в течении 2-х месяцев с момента окончания работ по II-му этапу.</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В составе разрабатываемой РД по РЗА должны содержаться следующие материалы:</w:t>
      </w:r>
    </w:p>
    <w:p>
      <w:pPr>
        <w:pStyle w:val="25"/>
        <w:numPr>
          <w:ilvl w:val="0"/>
          <w:numId w:val="4"/>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val="false"/>
          <w:i w:val="false"/>
          <w:color w:val="000000"/>
          <w:sz w:val="26"/>
          <w:szCs w:val="26"/>
        </w:rPr>
        <w:t xml:space="preserve">пояснительная записка, включающая в себя проектный расчет параметров настройки (уставок) и алгоритмов функционирования комплексов и устройств РЗА; </w:t>
      </w:r>
    </w:p>
    <w:p>
      <w:pPr>
        <w:pStyle w:val="25"/>
        <w:numPr>
          <w:ilvl w:val="0"/>
          <w:numId w:val="4"/>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val="false"/>
          <w:i w:val="false"/>
          <w:color w:val="000000"/>
          <w:sz w:val="26"/>
          <w:szCs w:val="26"/>
        </w:rPr>
        <w:t>схемы распределения по трансформаторам тока и напряжения устройств РЗА, информационно-измерительных систем (автоматизированных систем управления технологическим</w:t>
      </w:r>
      <w:r>
        <w:rPr>
          <w:rFonts w:cs="Liberation Serif" w:ascii="Liberation Serif" w:hAnsi="Liberation Serif"/>
          <w:b w:val="false"/>
          <w:i w:val="false"/>
          <w:sz w:val="26"/>
          <w:szCs w:val="26"/>
        </w:rPr>
        <w:t xml:space="preserve"> процессом, автоматизированных информационно-измерительных систем коммерческого учета электроэнергии); </w:t>
      </w:r>
    </w:p>
    <w:p>
      <w:pPr>
        <w:pStyle w:val="25"/>
        <w:numPr>
          <w:ilvl w:val="0"/>
          <w:numId w:val="4"/>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val="false"/>
          <w:i w:val="false"/>
          <w:sz w:val="26"/>
          <w:szCs w:val="26"/>
        </w:rPr>
        <w:t xml:space="preserve">принципиальные и функционально-логические схемы (алгоритмы функционирования) устройств РЗА и внешних связей с другими устройствами РЗА, коммутационными аппаратами, устройствами ВЧ связи, устройствами передачи аварийных сигналов и команд; </w:t>
      </w:r>
    </w:p>
    <w:p>
      <w:pPr>
        <w:pStyle w:val="25"/>
        <w:numPr>
          <w:ilvl w:val="0"/>
          <w:numId w:val="4"/>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val="false"/>
          <w:i w:val="false"/>
          <w:sz w:val="26"/>
          <w:szCs w:val="26"/>
        </w:rPr>
        <w:t>данные по параметрированию (конфигурированию) микропроцессорных устройств РЗА, в т.ч. заполненные таблицы (бланки) параметров настройки (уставок) устройств РЗА (в т.ч. РАС);</w:t>
      </w:r>
    </w:p>
    <w:p>
      <w:pPr>
        <w:pStyle w:val="25"/>
        <w:numPr>
          <w:ilvl w:val="0"/>
          <w:numId w:val="4"/>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val="false"/>
          <w:i w:val="false"/>
          <w:sz w:val="26"/>
          <w:szCs w:val="26"/>
        </w:rPr>
        <w:t xml:space="preserve">схемы организации каналов связи для функционирования устройств РЗА; </w:t>
      </w:r>
    </w:p>
    <w:p>
      <w:pPr>
        <w:pStyle w:val="25"/>
        <w:numPr>
          <w:ilvl w:val="0"/>
          <w:numId w:val="4"/>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val="false"/>
          <w:i w:val="false"/>
          <w:sz w:val="26"/>
          <w:szCs w:val="26"/>
        </w:rPr>
        <w:t xml:space="preserve">заказные спецификации на устройства РЗА с указанием версии (типоисполнения) для микропроцессорных устройств РЗА; </w:t>
      </w:r>
    </w:p>
    <w:p>
      <w:pPr>
        <w:pStyle w:val="25"/>
        <w:numPr>
          <w:ilvl w:val="0"/>
          <w:numId w:val="4"/>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val="false"/>
          <w:i w:val="false"/>
          <w:sz w:val="26"/>
          <w:szCs w:val="26"/>
        </w:rPr>
        <w:t>схемы организации цепей оперативного тока устройств РЗА;</w:t>
      </w:r>
    </w:p>
    <w:p>
      <w:pPr>
        <w:pStyle w:val="25"/>
        <w:numPr>
          <w:ilvl w:val="0"/>
          <w:numId w:val="4"/>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val="false"/>
          <w:i w:val="false"/>
          <w:sz w:val="26"/>
          <w:szCs w:val="26"/>
        </w:rPr>
        <w:t xml:space="preserve">схемы организации цепей напряжения устройств РЗА; </w:t>
      </w:r>
    </w:p>
    <w:p>
      <w:pPr>
        <w:pStyle w:val="25"/>
        <w:numPr>
          <w:ilvl w:val="0"/>
          <w:numId w:val="4"/>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val="false"/>
          <w:i w:val="false"/>
          <w:sz w:val="26"/>
          <w:szCs w:val="26"/>
        </w:rPr>
        <w:t xml:space="preserve">принципиальные схемы управления и автоматики (алгоритмы функционирования) выключателей; </w:t>
      </w:r>
    </w:p>
    <w:p>
      <w:pPr>
        <w:pStyle w:val="25"/>
        <w:numPr>
          <w:ilvl w:val="0"/>
          <w:numId w:val="4"/>
        </w:numPr>
        <w:tabs>
          <w:tab w:val="clear" w:pos="709"/>
          <w:tab w:val="left" w:pos="993" w:leader="none"/>
        </w:tabs>
        <w:spacing w:before="0" w:after="0"/>
        <w:ind w:left="0" w:right="0" w:firstLine="709"/>
        <w:jc w:val="both"/>
        <w:rPr>
          <w:rFonts w:ascii="Liberation Serif" w:hAnsi="Liberation Serif"/>
          <w:sz w:val="26"/>
          <w:szCs w:val="26"/>
        </w:rPr>
      </w:pPr>
      <w:r>
        <w:rPr>
          <w:rFonts w:cs="Liberation Serif" w:ascii="Liberation Serif" w:hAnsi="Liberation Serif"/>
          <w:b w:val="false"/>
          <w:i w:val="false"/>
          <w:sz w:val="26"/>
          <w:szCs w:val="26"/>
        </w:rPr>
        <w:t>решения по интеграции устанавливаемых комплексов и устройств РЗА в создаваемые (модернизируемые) объектовые автоматизированные системы управления технологическим процессом, системы сбора и передачи информации.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В составе РД разработать опросные листы и спецификации по основному оборудованию и материалам.</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Оформление РД выполнить в соответствии с ГОСТ Р 21.1101-2013 «Основные требования к проектной и рабочей документации».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В составе РД в т.ч. выполнить опросные листы (ОЛ) на оборудование и заказные спецификации.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РД должна быть выполнена в объеме достаточном для производства строительно-монтажных работ и заказа материалов и оборудования.</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Одновременно с первичным направлением на рассмотрение и согласование томов Заказчику и в Амурское РДУ направляется перечень томов РД, подготавливаемых в рамках настоящего инвестиционного проекта.</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 xml:space="preserve">РД должна быть согласована с Заказчиком, Амурским РДУ, </w:t>
      </w:r>
      <w:r>
        <w:rPr>
          <w:rFonts w:cs="Liberation Serif" w:ascii="Liberation Serif" w:hAnsi="Liberation Serif"/>
          <w:color w:val="0808FF"/>
          <w:sz w:val="26"/>
          <w:szCs w:val="26"/>
          <w:shd w:fill="auto" w:val="clear"/>
        </w:rPr>
        <w:t xml:space="preserve">с ПАО «Россети»-МЭС Востока (согласно требованиям пункта 3.1 технических условий, выданных ПАО «Россети» – МЭС Востока от 13.12.2024, </w:t>
      </w:r>
      <w:r>
        <w:rPr>
          <w:rFonts w:cs="Liberation Serif" w:ascii="Liberation Serif" w:hAnsi="Liberation Serif"/>
          <w:i/>
          <w:iCs/>
          <w:color w:val="0808FF"/>
          <w:sz w:val="26"/>
          <w:szCs w:val="26"/>
          <w:shd w:fill="auto" w:val="clear"/>
        </w:rPr>
        <w:t>приложение 15</w:t>
      </w:r>
      <w:r>
        <w:rPr>
          <w:rFonts w:cs="Liberation Serif" w:ascii="Liberation Serif" w:hAnsi="Liberation Serif"/>
          <w:color w:val="0808FF"/>
          <w:sz w:val="26"/>
          <w:szCs w:val="26"/>
          <w:shd w:fill="auto" w:val="clear"/>
        </w:rPr>
        <w:t>) и, при необходимости, с субъектами электроэнергетики – собственниками энергообъектов, технологически связанных с объектом проектирования.</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i/>
          <w:sz w:val="26"/>
          <w:szCs w:val="26"/>
          <w:lang w:val="en-US"/>
        </w:rPr>
        <w:t>VI</w:t>
      </w:r>
      <w:r>
        <w:rPr>
          <w:rFonts w:cs="Liberation Serif" w:ascii="Liberation Serif" w:hAnsi="Liberation Serif"/>
          <w:i/>
          <w:sz w:val="26"/>
          <w:szCs w:val="26"/>
        </w:rPr>
        <w:t xml:space="preserve"> этап считается выполненным после согласования Заказчиком полного комплекта рабочей документации.</w:t>
      </w:r>
    </w:p>
    <w:p>
      <w:pPr>
        <w:pStyle w:val="Standard"/>
        <w:tabs>
          <w:tab w:val="clear" w:pos="709"/>
          <w:tab w:val="left" w:pos="566" w:leader="none"/>
          <w:tab w:val="left" w:pos="849" w:leader="none"/>
        </w:tabs>
        <w:spacing w:before="0" w:after="0"/>
        <w:ind w:left="0" w:right="0" w:firstLine="709"/>
        <w:jc w:val="both"/>
        <w:rPr>
          <w:rFonts w:ascii="Liberation Serif" w:hAnsi="Liberation Serif"/>
          <w:sz w:val="26"/>
          <w:szCs w:val="26"/>
        </w:rPr>
      </w:pPr>
      <w:r>
        <w:rPr>
          <w:rFonts w:cs="Liberation Serif" w:ascii="Liberation Serif" w:hAnsi="Liberation Serif"/>
          <w:i/>
          <w:sz w:val="26"/>
          <w:szCs w:val="26"/>
        </w:rPr>
        <w:t>Cрок выполнения: в течение 3-х месяцев с момента окончания работ по III-му этапу.</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b/>
          <w:sz w:val="26"/>
          <w:szCs w:val="26"/>
        </w:rPr>
        <w:t>5. Требования к расчётным моделям:</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5.1. Расчеты, выполняемые в соответствии с требованиями настоящего задания на проектирование, должны быть выполнены с использованием перспективных расчетных моделей электроэнергетической системы для расчетов установившихся электроэнергетических режимов и статической устойчивости и/или действующего значения основной гармоники периодической составляющей тока в начальный момент короткого замыкания в сети напряжением 110 кВ и выше, представленных Филиалом АО «СО ЕЭС» - ОДУ Востока (далее – ОДУ Востока) в соответствии с Порядком раскрытия цифровых информационных моделей электроэнергетических систем и предоставления системным оператором иным субъектам электроэнергетики,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утвержденным приказом Минэнерго России от 17.02.2023 № 82.</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5.2. Направление запроса в ОДУ Востока для получения перспективных расчетных моделей или их фрагментов, указанных в пункте 5.1 настоящего задания на проектирование, осуществляется Заказчиком либо проектной организацией в письменной форме или в формате электронных документов, подписанных с использованием усиленной квалифицированной электронной подписи, заявку о предоставлении перспективных расчетных моделей (далее – Заявка), с приложением документов, указанных в пункте 22 Порядка, включая обязательство об обеспечении конфиденциальности информации, содержащейся в перспективных расчетных моделях (далее – Обязательство).</w:t>
      </w:r>
    </w:p>
    <w:p>
      <w:pPr>
        <w:pStyle w:val="Standard"/>
        <w:ind w:left="0" w:right="0" w:firstLine="708"/>
        <w:jc w:val="both"/>
        <w:rPr/>
      </w:pPr>
      <w:r>
        <w:rPr>
          <w:rFonts w:cs="Liberation Serif" w:ascii="Liberation Serif" w:hAnsi="Liberation Serif"/>
          <w:sz w:val="26"/>
          <w:szCs w:val="26"/>
        </w:rPr>
        <w:t>5.3. Рекомендуемая форма Заявки и Обязательства опубликована на сайте АО «СО ЕЭС» в разделе Деятельность/Развитие энергосистем (</w:t>
      </w:r>
      <w:hyperlink r:id="rId2">
        <w:r>
          <w:rPr>
            <w:rStyle w:val="Hyperlink"/>
            <w:rFonts w:cs="Liberation Serif" w:ascii="Liberation Serif" w:hAnsi="Liberation Serif"/>
            <w:sz w:val="26"/>
            <w:szCs w:val="26"/>
          </w:rPr>
          <w:t>https://www.so-ups.ru/future-planning/tech-data/</w:t>
        </w:r>
      </w:hyperlink>
      <w:r>
        <w:rPr>
          <w:rFonts w:cs="Liberation Serif" w:ascii="Liberation Serif" w:hAnsi="Liberation Serif"/>
          <w:sz w:val="26"/>
          <w:szCs w:val="26"/>
        </w:rPr>
        <w:t>).</w:t>
      </w:r>
    </w:p>
    <w:p>
      <w:pPr>
        <w:pStyle w:val="Standard"/>
        <w:ind w:left="0" w:right="0" w:firstLine="708"/>
        <w:jc w:val="both"/>
        <w:rPr/>
      </w:pPr>
      <w:r>
        <w:rPr>
          <w:rFonts w:cs="Liberation Serif" w:ascii="Liberation Serif" w:hAnsi="Liberation Serif"/>
          <w:sz w:val="26"/>
          <w:szCs w:val="26"/>
        </w:rPr>
        <w:t xml:space="preserve">5.4. </w:t>
      </w:r>
      <w:r>
        <w:rPr>
          <w:rFonts w:ascii="Liberation Serif" w:hAnsi="Liberation Serif"/>
          <w:sz w:val="26"/>
          <w:szCs w:val="26"/>
        </w:rPr>
        <w:t>Расчетные модели, используемые при проведении соответствующих расчетов, формируются АО «ДРСК» либо привлеченной им проектной организацией на основе п</w:t>
      </w:r>
      <w:r>
        <w:rPr>
          <w:rFonts w:cs="Liberation Serif" w:ascii="Liberation Serif" w:hAnsi="Liberation Serif"/>
          <w:sz w:val="26"/>
          <w:szCs w:val="26"/>
        </w:rPr>
        <w:t>ерспективных расчетных моделей</w:t>
      </w:r>
      <w:r>
        <w:rPr>
          <w:rFonts w:ascii="Liberation Serif" w:hAnsi="Liberation Serif"/>
          <w:sz w:val="26"/>
          <w:szCs w:val="26"/>
        </w:rPr>
        <w:t>, полученных от ОДУ Востока, в форматах программных комплексов, предназначенных для выполнения расчетов установившихся режимов и статической устойчивости, токов короткого замыкания, используемых системным оператором для формирования перспективных расчетных моделей и опубликованных на официальном сайте АО «СО ЕЭС» в разделе Деятельность/Развитие энергосистем/Данные для проектирования» в информационно-телекоммуникационной сети «Интернет».</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 xml:space="preserve">5.5. При направлении материалов с результатами расчетов установившихся электроэнергетических режимов и статической устойчивости и/или действующего значения основной гармоники периодической составляющей тока в начальный момент короткого замыкания в сети напряжением 110 кВ и выше на согласование в адрес ОДУ Востока и АО «ДРСК», должны быть приложены расчетные модели с учетом определенных в работе технических решений по строительству (реконструкции) объекта и технических решений по развитию электрических сетей (при первичном направлении результатов расчетов и при внесении изменений в направленные ранее Расчетные модели) </w:t>
      </w:r>
      <w:r>
        <w:rPr>
          <w:rFonts w:ascii="Liberation Serif" w:hAnsi="Liberation Serif"/>
          <w:sz w:val="26"/>
          <w:szCs w:val="26"/>
        </w:rPr>
        <w:t xml:space="preserve">сформированные в соответствии с пунктом 5.4 </w:t>
      </w:r>
      <w:r>
        <w:rPr>
          <w:rFonts w:ascii="Liberation Serif" w:hAnsi="Liberation Serif"/>
          <w:bCs/>
          <w:sz w:val="26"/>
          <w:szCs w:val="26"/>
        </w:rPr>
        <w:t>настоящего задания на проектирование</w:t>
      </w:r>
      <w:r>
        <w:rPr>
          <w:rFonts w:ascii="Liberation Serif" w:hAnsi="Liberation Serif"/>
          <w:sz w:val="26"/>
          <w:szCs w:val="26"/>
        </w:rPr>
        <w:t xml:space="preserve"> и в указанных в пункте 5.4 </w:t>
      </w:r>
      <w:r>
        <w:rPr>
          <w:rFonts w:ascii="Liberation Serif" w:hAnsi="Liberation Serif"/>
          <w:bCs/>
          <w:sz w:val="26"/>
          <w:szCs w:val="26"/>
        </w:rPr>
        <w:t>настоящего задания на проектирование</w:t>
      </w:r>
      <w:r>
        <w:rPr>
          <w:rFonts w:ascii="Liberation Serif" w:hAnsi="Liberation Serif"/>
          <w:sz w:val="26"/>
          <w:szCs w:val="26"/>
        </w:rPr>
        <w:t xml:space="preserve"> форматах</w:t>
      </w:r>
      <w:r>
        <w:rPr>
          <w:rFonts w:cs="Liberation Serif" w:ascii="Liberation Serif" w:hAnsi="Liberation Serif"/>
          <w:sz w:val="26"/>
          <w:szCs w:val="26"/>
        </w:rPr>
        <w:t>.</w:t>
      </w:r>
    </w:p>
    <w:p>
      <w:pPr>
        <w:pStyle w:val="Standard"/>
        <w:ind w:left="0" w:right="0" w:firstLine="709"/>
        <w:jc w:val="both"/>
        <w:rPr>
          <w:rFonts w:ascii="Liberation Serif" w:hAnsi="Liberation Serif" w:cs="Liberation Serif"/>
          <w:sz w:val="26"/>
          <w:szCs w:val="26"/>
        </w:rPr>
      </w:pPr>
      <w:r>
        <w:rPr>
          <w:rFonts w:cs="Liberation Serif" w:ascii="Liberation Serif" w:hAnsi="Liberation Serif"/>
          <w:sz w:val="26"/>
          <w:szCs w:val="26"/>
        </w:rPr>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b/>
          <w:sz w:val="26"/>
          <w:szCs w:val="26"/>
        </w:rPr>
        <w:t>6. Особые условия:</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6.1. Выполнить раздел «Эффективность инвестиций».</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6.2. В проекте организации строительства разработать технические решения, последовательность и технологии работ, связанных с обеспечением бесперебойного снабжения потребителей электроэнергией на время строительства объекта.</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6.3. В разделах «Инженерные изыскания» и «Проект полосы отвода» картографический материал предоставить в масштабах 1:500 и 1:2000 на бумажном и электронном носителях.</w:t>
      </w:r>
    </w:p>
    <w:p>
      <w:pPr>
        <w:pStyle w:val="Standard"/>
        <w:spacing w:before="0" w:after="0"/>
        <w:ind w:left="0" w:right="0" w:firstLine="709"/>
        <w:jc w:val="both"/>
        <w:rPr/>
      </w:pPr>
      <w:r>
        <w:rPr>
          <w:rFonts w:cs="Liberation Serif" w:ascii="Liberation Serif" w:hAnsi="Liberation Serif"/>
          <w:sz w:val="26"/>
          <w:szCs w:val="26"/>
        </w:rPr>
        <w:t xml:space="preserve">6.4. Разделы проектно-сметной документации выполнить в соответствии с Положением о составе разделов проектной документации и требованиях к их содержанию (Утв. Постановлением Правительства РФ </w:t>
      </w:r>
      <w:hyperlink r:id="rId3" w:tgtFrame="kodeks://link/d?nd=902087949">
        <w:r>
          <w:rPr>
            <w:rStyle w:val="1"/>
            <w:rFonts w:cs="Liberation Serif" w:ascii="Liberation Serif" w:hAnsi="Liberation Serif"/>
            <w:color w:val="00000A"/>
            <w:sz w:val="26"/>
            <w:szCs w:val="26"/>
            <w:u w:val="none"/>
          </w:rPr>
          <w:t>от 16.02.2008 № 87</w:t>
        </w:r>
      </w:hyperlink>
      <w:r>
        <w:rPr>
          <w:rFonts w:cs="Liberation Serif" w:ascii="Liberation Serif" w:hAnsi="Liberation Serif"/>
          <w:sz w:val="26"/>
          <w:szCs w:val="26"/>
        </w:rPr>
        <w:t>) и 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6.5. Противопожарные мероприятия выполнить в соответствии с действующими правилами пожарной безопасности для энергетических объектов.</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6.6. В случае наличия выявленного объекта культурного наследия разработать в составе проектной документации раздел об обеспечении сохранности выявленного объекта культурного наследия или проведении спасательных археологических полевых работ или проект обеспечения сохранности выявленного объекта культурного наследия, либо план проведения спасательных археологических полевых работ, включающих оценку воздействия проводимых работ на указанный объект культурного наследия и обеспечить получение по указанной документации заключение государственной историко-культурной экспертизы, а так же её согласование в органе исполнительной власти субъекта Российской Федерации, уполномоченном в области охраны объектов культурного наследия»;</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color w:val="000000"/>
          <w:sz w:val="26"/>
          <w:szCs w:val="26"/>
        </w:rPr>
        <w:t>6.7. Предусмотреть мероприятия, направленные на выполнение требований при строительс</w:t>
      </w:r>
      <w:r>
        <w:rPr>
          <w:rFonts w:cs="Liberation Serif" w:ascii="Liberation Serif" w:hAnsi="Liberation Serif"/>
          <w:sz w:val="26"/>
          <w:szCs w:val="26"/>
        </w:rPr>
        <w:t>тве объектов, размещаемых в приаэродромных зонах, в соответствии с воздушным законодательством РФ.</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6.8. С целью соблюдения требований по обеспечению информационной безопасности должна быть предусмотрена защита всей передаваемой по каналам связи информации посредством использования сертифицированных средств защиты информации и сертифицированных межсетевых экранов (для корпоративной сети передачи данных номер сети VipNet 12948, для технологической сети передачи данных номер сети VipNet 22377).</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6.9. Разработать раздел/подраздел проектной документации: «</w:t>
      </w:r>
      <w:r>
        <w:rPr>
          <w:rFonts w:cs="Liberation Serif" w:ascii="Liberation Serif" w:hAnsi="Liberation Serif"/>
          <w:i/>
          <w:sz w:val="26"/>
          <w:szCs w:val="26"/>
        </w:rPr>
        <w:t>Применение ЗШО (злакошлаковые отходы (сухая зола на объектах с сухим золоудалением, так и зола, взятая с гидрошлакоотвалов))</w:t>
      </w:r>
      <w:r>
        <w:rPr>
          <w:rFonts w:cs="Liberation Serif" w:ascii="Liberation Serif" w:hAnsi="Liberation Serif"/>
          <w:sz w:val="26"/>
          <w:szCs w:val="26"/>
        </w:rPr>
        <w:t>» в котором рассмотреть:</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6.9.1. возможность использования ЗШО угольных ТЭС (тепловая электростанция) Группы РусГидро при приготовлении бетонов и цементных растворов, строительства дорог, планирования территории, обратной засыпки (с подтверждением соответствующего уровня надежности и безопасности зданий и сооружений, а также экологической безопасности);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6.9.2. Определить экономическую эффективность применения ЗШО на объекте;</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6.9.3. при наличии возможности применения ЗШО и экономической эффективности определить объемы и способы применения ЗШО в проектной документации.</w:t>
      </w:r>
    </w:p>
    <w:p>
      <w:pPr>
        <w:pStyle w:val="Standard"/>
        <w:spacing w:before="0" w:after="0"/>
        <w:ind w:left="0" w:right="0" w:firstLine="709"/>
        <w:jc w:val="both"/>
        <w:rPr/>
      </w:pPr>
      <w:r>
        <w:rPr>
          <w:rFonts w:cs="Liberation Serif" w:ascii="Liberation Serif" w:hAnsi="Liberation Serif"/>
          <w:sz w:val="26"/>
          <w:szCs w:val="26"/>
        </w:rPr>
        <w:t xml:space="preserve">6.9.4. Перечень источников ЗШО Группы РусГидро с приложением сертификата анализа золы, паспортов безопасности химической продукции, сертификатов соответствия ППСУ (продуктов попутного сжигания угля), технических условий на ППСУ по каждому источнику ЗШО размещены на сайте ПАО «РусГидро» по электронному адресу: </w:t>
      </w:r>
      <w:hyperlink r:id="rId4" w:tgtFrame="https://rushydro.ru/sustainable_development/environmental/ekologicheskaya-politika/proekty-snizhayushchie-vozdeystvie-na-okruzhayushchuyu-sredu/realizatsiya-zoloshlakovykh-materialov/">
        <w:r>
          <w:rPr>
            <w:rStyle w:val="1"/>
            <w:rFonts w:cs="Liberation Serif" w:ascii="Liberation Serif" w:hAnsi="Liberation Serif"/>
            <w:sz w:val="26"/>
            <w:szCs w:val="26"/>
          </w:rPr>
          <w:t>https://rushydro.ru/sustainable_development/environmental/ekologicheskaya-politika/proekty-snizhayushchie-vozdeystvie-na-okruzhayushchuyu-sredu/realizatsiya-zoloshlakovykh-materialov/</w:t>
        </w:r>
      </w:hyperlink>
      <w:r>
        <w:rPr>
          <w:rFonts w:cs="Liberation Serif" w:ascii="Liberation Serif" w:hAnsi="Liberation Serif"/>
          <w:sz w:val="26"/>
          <w:szCs w:val="26"/>
        </w:rPr>
        <w:t>.</w:t>
      </w:r>
    </w:p>
    <w:p>
      <w:pPr>
        <w:pStyle w:val="Standard"/>
        <w:spacing w:before="0" w:after="0"/>
        <w:ind w:left="0" w:right="0" w:firstLine="708"/>
        <w:jc w:val="both"/>
        <w:rPr>
          <w:rFonts w:ascii="Liberation Serif" w:hAnsi="Liberation Serif"/>
          <w:sz w:val="26"/>
          <w:szCs w:val="26"/>
        </w:rPr>
      </w:pPr>
      <w:r>
        <w:rPr>
          <w:rFonts w:cs="Liberation Serif" w:ascii="Liberation Serif" w:hAnsi="Liberation Serif"/>
          <w:sz w:val="26"/>
          <w:szCs w:val="26"/>
        </w:rPr>
        <w:t>В случае невозможности реализации требований пункта 6.9. предоставить аргументированное заключение.</w:t>
      </w:r>
    </w:p>
    <w:p>
      <w:pPr>
        <w:pStyle w:val="Standard"/>
        <w:ind w:left="0" w:right="0" w:firstLine="709"/>
        <w:jc w:val="both"/>
        <w:rPr>
          <w:rFonts w:ascii="Liberation Serif" w:hAnsi="Liberation Serif"/>
          <w:sz w:val="26"/>
          <w:szCs w:val="26"/>
        </w:rPr>
      </w:pPr>
      <w:r>
        <w:rPr/>
      </w:r>
    </w:p>
    <w:p>
      <w:pPr>
        <w:pStyle w:val="Standard"/>
        <w:spacing w:before="0" w:after="0"/>
        <w:ind w:left="0" w:right="0" w:firstLine="709"/>
        <w:jc w:val="both"/>
        <w:rPr>
          <w:sz w:val="26"/>
          <w:szCs w:val="26"/>
        </w:rPr>
      </w:pPr>
      <w:r>
        <w:rPr>
          <w:rFonts w:cs="Liberation Serif" w:ascii="Liberation Serif" w:hAnsi="Liberation Serif"/>
          <w:b/>
          <w:sz w:val="26"/>
          <w:szCs w:val="26"/>
        </w:rPr>
        <w:t>7</w:t>
      </w:r>
      <w:r>
        <w:rPr>
          <w:rFonts w:cs="Liberation Serif" w:ascii="Liberation Serif" w:hAnsi="Liberation Serif"/>
          <w:b/>
          <w:sz w:val="26"/>
          <w:szCs w:val="26"/>
        </w:rPr>
        <w:t>. Общие требования</w:t>
      </w:r>
    </w:p>
    <w:p>
      <w:pPr>
        <w:pStyle w:val="Standard"/>
        <w:spacing w:before="0" w:after="0"/>
        <w:ind w:left="0" w:right="0" w:firstLine="709"/>
        <w:jc w:val="both"/>
        <w:rPr>
          <w:sz w:val="26"/>
          <w:szCs w:val="26"/>
        </w:rPr>
      </w:pPr>
      <w:r>
        <w:rPr>
          <w:rFonts w:cs="Liberation Serif" w:ascii="Liberation Serif" w:hAnsi="Liberation Serif"/>
          <w:sz w:val="26"/>
          <w:szCs w:val="26"/>
        </w:rPr>
        <w:t>7</w:t>
      </w:r>
      <w:r>
        <w:rPr>
          <w:rFonts w:cs="Liberation Serif" w:ascii="Liberation Serif" w:hAnsi="Liberation Serif"/>
          <w:sz w:val="26"/>
          <w:szCs w:val="26"/>
        </w:rPr>
        <w:t>.1. Подрядчик в день завершения работ, указанный в календарном плане, направляет в филиал АО «ДРСК» Акт сдачи-приемки выполненных работ с приложением 4 (четырех) экземпляров ПСД в бумажном виде и 1 экземпляр в электронном виде (на CD), одновременно направляет 1 экземпляр в электронном виде (на D) в АО «ДРСК» г. Благовещенск.</w:t>
      </w:r>
    </w:p>
    <w:p>
      <w:pPr>
        <w:pStyle w:val="Standard"/>
        <w:spacing w:before="0" w:after="0"/>
        <w:ind w:left="0" w:right="0" w:firstLine="709"/>
        <w:jc w:val="both"/>
        <w:rPr>
          <w:sz w:val="26"/>
          <w:szCs w:val="26"/>
        </w:rPr>
      </w:pPr>
      <w:r>
        <w:rPr>
          <w:rFonts w:cs="Liberation Serif" w:ascii="Liberation Serif" w:hAnsi="Liberation Serif"/>
          <w:sz w:val="26"/>
          <w:szCs w:val="26"/>
        </w:rPr>
        <w:t>7</w:t>
      </w:r>
      <w:r>
        <w:rPr>
          <w:rFonts w:cs="Liberation Serif" w:ascii="Liberation Serif" w:hAnsi="Liberation Serif"/>
          <w:sz w:val="26"/>
          <w:szCs w:val="26"/>
        </w:rPr>
        <w:t>.2. Использование форматов при передаче документации в электронном виде:</w:t>
      </w:r>
    </w:p>
    <w:p>
      <w:pPr>
        <w:pStyle w:val="Standard"/>
        <w:spacing w:before="0" w:after="0"/>
        <w:ind w:left="0" w:right="0" w:firstLine="709"/>
        <w:jc w:val="both"/>
        <w:rPr>
          <w:rFonts w:ascii="Liberation Serif" w:hAnsi="Liberation Serif" w:cs="Liberation Serif"/>
        </w:rPr>
      </w:pPr>
      <w:r>
        <w:rPr>
          <w:rFonts w:cs="Liberation Serif" w:ascii="Liberation Serif" w:hAnsi="Liberation Serif"/>
        </w:rPr>
      </w:r>
    </w:p>
    <w:tbl>
      <w:tblPr>
        <w:tblW w:w="10266" w:type="dxa"/>
        <w:jc w:val="center"/>
        <w:tblInd w:w="0" w:type="dxa"/>
        <w:tblLayout w:type="fixed"/>
        <w:tblCellMar>
          <w:top w:w="0" w:type="dxa"/>
          <w:left w:w="78" w:type="dxa"/>
          <w:bottom w:w="0" w:type="dxa"/>
          <w:right w:w="108" w:type="dxa"/>
        </w:tblCellMar>
      </w:tblPr>
      <w:tblGrid>
        <w:gridCol w:w="2439"/>
        <w:gridCol w:w="3060"/>
        <w:gridCol w:w="1119"/>
        <w:gridCol w:w="2509"/>
        <w:gridCol w:w="1139"/>
      </w:tblGrid>
      <w:tr>
        <w:trPr>
          <w:tblHeader w:val="true"/>
          <w:trHeight w:val="314" w:hRule="atLeast"/>
        </w:trPr>
        <w:tc>
          <w:tcPr>
            <w:tcW w:w="2439" w:type="dxa"/>
            <w:tcBorders>
              <w:top w:val="single" w:sz="8"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Вид документа</w:t>
            </w:r>
          </w:p>
        </w:tc>
        <w:tc>
          <w:tcPr>
            <w:tcW w:w="3060" w:type="dxa"/>
            <w:tcBorders>
              <w:top w:val="single" w:sz="8"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Используемое приложение</w:t>
            </w:r>
          </w:p>
        </w:tc>
        <w:tc>
          <w:tcPr>
            <w:tcW w:w="1119" w:type="dxa"/>
            <w:tcBorders>
              <w:top w:val="single" w:sz="8"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Формат</w:t>
            </w:r>
          </w:p>
        </w:tc>
        <w:tc>
          <w:tcPr>
            <w:tcW w:w="2509" w:type="dxa"/>
            <w:tcBorders>
              <w:top w:val="single" w:sz="8"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Российское ПО</w:t>
            </w:r>
          </w:p>
        </w:tc>
        <w:tc>
          <w:tcPr>
            <w:tcW w:w="1139" w:type="dxa"/>
            <w:tcBorders>
              <w:top w:val="single" w:sz="8"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Формат</w:t>
            </w:r>
          </w:p>
        </w:tc>
      </w:tr>
      <w:tr>
        <w:trPr>
          <w:trHeight w:val="314" w:hRule="atLeast"/>
        </w:trPr>
        <w:tc>
          <w:tcPr>
            <w:tcW w:w="2439" w:type="dxa"/>
            <w:vMerge w:val="restart"/>
            <w:tcBorders>
              <w:top w:val="single" w:sz="4" w:space="0" w:color="00000A"/>
              <w:left w:val="single" w:sz="4" w:space="0" w:color="00000A"/>
              <w:bottom w:val="single" w:sz="4" w:space="0" w:color="00000A"/>
              <w:right w:val="single" w:sz="4" w:space="0" w:color="00000A"/>
            </w:tcBorders>
            <w:shd w:fill="FFFFFF" w:val="clear"/>
            <w:tcMar>
              <w:left w:w="93" w:type="dxa"/>
            </w:tcM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Текстовая часть, описания</w:t>
            </w:r>
          </w:p>
        </w:tc>
        <w:tc>
          <w:tcPr>
            <w:tcW w:w="3060" w:type="dxa"/>
            <w:tcBorders>
              <w:top w:val="single" w:sz="4" w:space="0" w:color="00000A"/>
              <w:left w:val="single" w:sz="4" w:space="0" w:color="00000A"/>
              <w:bottom w:val="single" w:sz="4" w:space="0" w:color="00000A"/>
              <w:right w:val="single" w:sz="4" w:space="0" w:color="00000A"/>
            </w:tcBorders>
            <w:shd w:fill="FFFFFF" w:val="clear"/>
            <w:tcMar>
              <w:left w:w="93" w:type="dxa"/>
            </w:tcMar>
            <w:vAlign w:val="center"/>
          </w:tcPr>
          <w:p>
            <w:pPr>
              <w:pStyle w:val="Standard"/>
              <w:widowControl w:val="false"/>
              <w:spacing w:before="0" w:after="0"/>
              <w:jc w:val="center"/>
              <w:rPr>
                <w:rFonts w:ascii="Liberation Serif" w:hAnsi="Liberation Serif" w:cs="Liberation Serif"/>
              </w:rPr>
            </w:pPr>
            <w:r>
              <w:rPr>
                <w:rFonts w:cs="Liberation Serif" w:ascii="Liberation Serif" w:hAnsi="Liberation Serif"/>
              </w:rPr>
            </w:r>
          </w:p>
          <w:p>
            <w:pPr>
              <w:pStyle w:val="19"/>
              <w:widowControl w:val="false"/>
              <w:rPr>
                <w:rFonts w:ascii="Liberation Serif" w:hAnsi="Liberation Serif"/>
              </w:rPr>
            </w:pPr>
            <w:r>
              <w:rPr>
                <w:rFonts w:ascii="Liberation Serif" w:hAnsi="Liberation Serif"/>
              </w:rPr>
            </w:r>
          </w:p>
        </w:tc>
        <w:tc>
          <w:tcPr>
            <w:tcW w:w="1119" w:type="dxa"/>
            <w:tcBorders>
              <w:top w:val="single" w:sz="4" w:space="0" w:color="00000A"/>
              <w:left w:val="single" w:sz="4" w:space="0" w:color="00000A"/>
              <w:bottom w:val="single" w:sz="4" w:space="0" w:color="00000A"/>
              <w:right w:val="single" w:sz="4" w:space="0" w:color="00000A"/>
            </w:tcBorders>
            <w:shd w:fill="FFFFFF" w:val="clear"/>
            <w:tcMar>
              <w:left w:w="93" w:type="dxa"/>
            </w:tcM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.doc</w:t>
            </w:r>
          </w:p>
        </w:tc>
        <w:tc>
          <w:tcPr>
            <w:tcW w:w="2509" w:type="dxa"/>
            <w:tcBorders>
              <w:top w:val="single" w:sz="4" w:space="0" w:color="00000A"/>
              <w:left w:val="single" w:sz="4" w:space="0" w:color="00000A"/>
              <w:bottom w:val="single" w:sz="4" w:space="0" w:color="00000A"/>
              <w:right w:val="single" w:sz="4" w:space="0" w:color="00000A"/>
            </w:tcBorders>
            <w:shd w:fill="FFFFFF" w:val="clear"/>
            <w:tcMar>
              <w:left w:w="93" w:type="dxa"/>
            </w:tcM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AlterOffice</w:t>
            </w:r>
          </w:p>
        </w:tc>
        <w:tc>
          <w:tcPr>
            <w:tcW w:w="1139" w:type="dxa"/>
            <w:tcBorders>
              <w:top w:val="single" w:sz="4" w:space="0" w:color="00000A"/>
              <w:left w:val="single" w:sz="4" w:space="0" w:color="00000A"/>
              <w:bottom w:val="single" w:sz="4" w:space="0" w:color="00000A"/>
              <w:right w:val="single" w:sz="4" w:space="0" w:color="00000A"/>
            </w:tcBorders>
            <w:shd w:fill="FFFFFF" w:val="clear"/>
            <w:tcMar>
              <w:left w:w="93" w:type="dxa"/>
            </w:tcM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 xml:space="preserve">.odt </w:t>
            </w:r>
          </w:p>
        </w:tc>
      </w:tr>
      <w:tr>
        <w:trPr>
          <w:trHeight w:val="314" w:hRule="atLeast"/>
        </w:trPr>
        <w:tc>
          <w:tcPr>
            <w:tcW w:w="2439" w:type="dxa"/>
            <w:vMerge w:val="continue"/>
            <w:tcBorders>
              <w:top w:val="single" w:sz="4" w:space="0" w:color="00000A"/>
              <w:left w:val="single" w:sz="4" w:space="0" w:color="00000A"/>
              <w:bottom w:val="single" w:sz="4" w:space="0" w:color="00000A"/>
              <w:right w:val="single" w:sz="4" w:space="0" w:color="00000A"/>
            </w:tcBorders>
            <w:shd w:fill="FFFFFF" w:val="clear"/>
            <w:tcMar>
              <w:left w:w="93" w:type="dxa"/>
            </w:tcMar>
            <w:vAlign w:val="center"/>
          </w:tcPr>
          <w:p>
            <w:pPr>
              <w:pStyle w:val="Normal"/>
              <w:widowControl w:val="false"/>
              <w:rPr>
                <w:rFonts w:ascii="Liberation Serif" w:hAnsi="Liberation Serif"/>
              </w:rPr>
            </w:pPr>
            <w:r>
              <w:rPr>
                <w:rFonts w:ascii="Liberation Serif" w:hAnsi="Liberation Serif"/>
              </w:rPr>
            </w:r>
          </w:p>
        </w:tc>
        <w:tc>
          <w:tcPr>
            <w:tcW w:w="3060" w:type="dxa"/>
            <w:tcBorders>
              <w:top w:val="single" w:sz="4" w:space="0" w:color="00000A"/>
              <w:left w:val="single" w:sz="4" w:space="0" w:color="00000A"/>
              <w:bottom w:val="single" w:sz="4" w:space="0" w:color="00000A"/>
              <w:right w:val="single" w:sz="4" w:space="0" w:color="00000A"/>
            </w:tcBorders>
            <w:shd w:fill="FFFFFF" w:val="clear"/>
            <w:tcMar>
              <w:left w:w="93" w:type="dxa"/>
            </w:tcMar>
            <w:vAlign w:val="center"/>
          </w:tcPr>
          <w:p>
            <w:pPr>
              <w:pStyle w:val="Standard"/>
              <w:widowControl w:val="false"/>
              <w:spacing w:before="0" w:after="0"/>
              <w:jc w:val="center"/>
              <w:rPr>
                <w:rFonts w:ascii="Liberation Serif" w:hAnsi="Liberation Serif"/>
              </w:rPr>
            </w:pPr>
            <w:r>
              <w:rPr>
                <w:rFonts w:ascii="Liberation Serif" w:hAnsi="Liberation Serif"/>
              </w:rPr>
            </w:r>
          </w:p>
        </w:tc>
        <w:tc>
          <w:tcPr>
            <w:tcW w:w="1119" w:type="dxa"/>
            <w:tcBorders>
              <w:top w:val="single" w:sz="4" w:space="0" w:color="00000A"/>
              <w:left w:val="single" w:sz="4" w:space="0" w:color="00000A"/>
              <w:bottom w:val="single" w:sz="8" w:space="0" w:color="00000A"/>
              <w:right w:val="single" w:sz="8" w:space="0" w:color="00000A"/>
            </w:tcBorders>
            <w:shd w:fill="FFFFFF" w:val="clear"/>
            <w:tcMar>
              <w:left w:w="93" w:type="dxa"/>
            </w:tcM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.pdf</w:t>
            </w:r>
          </w:p>
        </w:tc>
        <w:tc>
          <w:tcPr>
            <w:tcW w:w="2509" w:type="dxa"/>
            <w:tcBorders>
              <w:top w:val="single" w:sz="4"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Окуляр ГОСТ</w:t>
            </w:r>
          </w:p>
        </w:tc>
        <w:tc>
          <w:tcPr>
            <w:tcW w:w="1139" w:type="dxa"/>
            <w:tcBorders>
              <w:top w:val="single" w:sz="4"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.pdf</w:t>
            </w:r>
          </w:p>
        </w:tc>
      </w:tr>
      <w:tr>
        <w:trPr>
          <w:trHeight w:val="314" w:hRule="atLeast"/>
        </w:trPr>
        <w:tc>
          <w:tcPr>
            <w:tcW w:w="243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Таблицы</w:t>
            </w:r>
          </w:p>
        </w:tc>
        <w:tc>
          <w:tcPr>
            <w:tcW w:w="3060"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cs="Liberation Serif"/>
              </w:rPr>
            </w:pPr>
            <w:r>
              <w:rPr>
                <w:rFonts w:cs="Liberation Serif" w:ascii="Liberation Serif" w:hAnsi="Liberation Serif"/>
              </w:rPr>
            </w:r>
          </w:p>
          <w:p>
            <w:pPr>
              <w:pStyle w:val="19"/>
              <w:widowControl w:val="false"/>
              <w:rPr>
                <w:rFonts w:ascii="Liberation Serif" w:hAnsi="Liberation Serif"/>
              </w:rPr>
            </w:pPr>
            <w:r>
              <w:rPr>
                <w:rFonts w:ascii="Liberation Serif" w:hAnsi="Liberation Serif"/>
              </w:rPr>
            </w:r>
          </w:p>
        </w:tc>
        <w:tc>
          <w:tcPr>
            <w:tcW w:w="111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.xls</w:t>
            </w:r>
          </w:p>
        </w:tc>
        <w:tc>
          <w:tcPr>
            <w:tcW w:w="250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AlterOffice</w:t>
            </w:r>
          </w:p>
        </w:tc>
        <w:tc>
          <w:tcPr>
            <w:tcW w:w="113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 xml:space="preserve">.ods </w:t>
            </w:r>
          </w:p>
        </w:tc>
      </w:tr>
      <w:tr>
        <w:trPr>
          <w:trHeight w:val="314" w:hRule="atLeast"/>
        </w:trPr>
        <w:tc>
          <w:tcPr>
            <w:tcW w:w="24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cs="Liberation Serif"/>
              </w:rPr>
            </w:pPr>
            <w:r>
              <w:rPr>
                <w:rFonts w:cs="Liberation Serif" w:ascii="Liberation Serif" w:hAnsi="Liberation Serif"/>
              </w:rPr>
            </w:r>
          </w:p>
          <w:p>
            <w:pPr>
              <w:pStyle w:val="19"/>
              <w:widowControl w:val="false"/>
              <w:rPr>
                <w:rFonts w:ascii="Liberation Serif" w:hAnsi="Liberation Serif"/>
              </w:rPr>
            </w:pPr>
            <w:r>
              <w:rPr>
                <w:rFonts w:ascii="Liberation Serif" w:hAnsi="Liberation Serif"/>
              </w:rPr>
            </w:r>
          </w:p>
        </w:tc>
        <w:tc>
          <w:tcPr>
            <w:tcW w:w="3060"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cs="Liberation Serif"/>
              </w:rPr>
            </w:pPr>
            <w:r>
              <w:rPr>
                <w:rFonts w:cs="Liberation Serif" w:ascii="Liberation Serif" w:hAnsi="Liberation Serif"/>
              </w:rPr>
            </w:r>
          </w:p>
          <w:p>
            <w:pPr>
              <w:pStyle w:val="19"/>
              <w:widowControl w:val="false"/>
              <w:rPr>
                <w:rFonts w:ascii="Liberation Serif" w:hAnsi="Liberation Serif"/>
              </w:rPr>
            </w:pPr>
            <w:r>
              <w:rPr>
                <w:rFonts w:ascii="Liberation Serif" w:hAnsi="Liberation Serif"/>
              </w:rPr>
            </w:r>
          </w:p>
        </w:tc>
        <w:tc>
          <w:tcPr>
            <w:tcW w:w="111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.pdf</w:t>
            </w:r>
          </w:p>
        </w:tc>
        <w:tc>
          <w:tcPr>
            <w:tcW w:w="250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Окуляр ГОСТ</w:t>
            </w:r>
          </w:p>
        </w:tc>
        <w:tc>
          <w:tcPr>
            <w:tcW w:w="11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.pdf</w:t>
            </w:r>
          </w:p>
        </w:tc>
      </w:tr>
      <w:tr>
        <w:trPr>
          <w:trHeight w:val="314" w:hRule="atLeast"/>
        </w:trPr>
        <w:tc>
          <w:tcPr>
            <w:tcW w:w="243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Базы данных</w:t>
            </w:r>
          </w:p>
        </w:tc>
        <w:tc>
          <w:tcPr>
            <w:tcW w:w="3060"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ascii="Liberation Serif" w:hAnsi="Liberation Serif"/>
              </w:rPr>
            </w:r>
          </w:p>
        </w:tc>
        <w:tc>
          <w:tcPr>
            <w:tcW w:w="111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.xls</w:t>
            </w:r>
          </w:p>
        </w:tc>
        <w:tc>
          <w:tcPr>
            <w:tcW w:w="250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AlterOffice</w:t>
            </w:r>
          </w:p>
        </w:tc>
        <w:tc>
          <w:tcPr>
            <w:tcW w:w="113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 xml:space="preserve">.ods </w:t>
            </w:r>
          </w:p>
        </w:tc>
      </w:tr>
      <w:tr>
        <w:trPr>
          <w:trHeight w:val="314" w:hRule="atLeast"/>
        </w:trPr>
        <w:tc>
          <w:tcPr>
            <w:tcW w:w="24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cs="Liberation Serif"/>
              </w:rPr>
            </w:pPr>
            <w:r>
              <w:rPr>
                <w:rFonts w:cs="Liberation Serif" w:ascii="Liberation Serif" w:hAnsi="Liberation Serif"/>
              </w:rPr>
            </w:r>
          </w:p>
          <w:p>
            <w:pPr>
              <w:pStyle w:val="19"/>
              <w:widowControl w:val="false"/>
              <w:rPr>
                <w:rFonts w:ascii="Liberation Serif" w:hAnsi="Liberation Serif"/>
              </w:rPr>
            </w:pPr>
            <w:r>
              <w:rPr>
                <w:rFonts w:ascii="Liberation Serif" w:hAnsi="Liberation Serif"/>
              </w:rPr>
            </w:r>
          </w:p>
        </w:tc>
        <w:tc>
          <w:tcPr>
            <w:tcW w:w="3060"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ascii="Liberation Serif" w:hAnsi="Liberation Serif"/>
              </w:rPr>
            </w:r>
          </w:p>
        </w:tc>
        <w:tc>
          <w:tcPr>
            <w:tcW w:w="111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.pdf</w:t>
            </w:r>
          </w:p>
        </w:tc>
        <w:tc>
          <w:tcPr>
            <w:tcW w:w="250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Окуляр ГОСТ</w:t>
            </w:r>
          </w:p>
        </w:tc>
        <w:tc>
          <w:tcPr>
            <w:tcW w:w="11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.pdf</w:t>
            </w:r>
          </w:p>
        </w:tc>
      </w:tr>
      <w:tr>
        <w:trPr>
          <w:trHeight w:val="314" w:hRule="atLeast"/>
        </w:trPr>
        <w:tc>
          <w:tcPr>
            <w:tcW w:w="243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Планы, графики</w:t>
            </w:r>
          </w:p>
        </w:tc>
        <w:tc>
          <w:tcPr>
            <w:tcW w:w="3060"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ascii="Liberation Serif" w:hAnsi="Liberation Serif"/>
              </w:rPr>
            </w:r>
          </w:p>
        </w:tc>
        <w:tc>
          <w:tcPr>
            <w:tcW w:w="111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.mpp</w:t>
            </w:r>
          </w:p>
        </w:tc>
        <w:tc>
          <w:tcPr>
            <w:tcW w:w="250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Окуляр ГОСТ</w:t>
            </w:r>
          </w:p>
        </w:tc>
        <w:tc>
          <w:tcPr>
            <w:tcW w:w="113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.pdf</w:t>
            </w:r>
          </w:p>
        </w:tc>
      </w:tr>
      <w:tr>
        <w:trPr>
          <w:trHeight w:val="314" w:hRule="atLeast"/>
        </w:trPr>
        <w:tc>
          <w:tcPr>
            <w:tcW w:w="24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ascii="Liberation Serif" w:hAnsi="Liberation Serif"/>
              </w:rPr>
            </w:r>
          </w:p>
        </w:tc>
        <w:tc>
          <w:tcPr>
            <w:tcW w:w="3060"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ascii="Liberation Serif" w:hAnsi="Liberation Serif"/>
              </w:rPr>
            </w:r>
          </w:p>
        </w:tc>
        <w:tc>
          <w:tcPr>
            <w:tcW w:w="111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.xls</w:t>
            </w:r>
          </w:p>
        </w:tc>
        <w:tc>
          <w:tcPr>
            <w:tcW w:w="250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AlterOffice</w:t>
            </w:r>
          </w:p>
        </w:tc>
        <w:tc>
          <w:tcPr>
            <w:tcW w:w="11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 xml:space="preserve">.ods </w:t>
            </w:r>
          </w:p>
        </w:tc>
      </w:tr>
      <w:tr>
        <w:trPr>
          <w:trHeight w:val="314" w:hRule="atLeast"/>
        </w:trPr>
        <w:tc>
          <w:tcPr>
            <w:tcW w:w="24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Принципиальные схемы РЗА</w:t>
            </w:r>
          </w:p>
        </w:tc>
        <w:tc>
          <w:tcPr>
            <w:tcW w:w="3060"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cs="Liberation Serif"/>
              </w:rPr>
            </w:pPr>
            <w:r>
              <w:rPr>
                <w:rFonts w:cs="Liberation Serif" w:ascii="Liberation Serif" w:hAnsi="Liberation Serif"/>
              </w:rPr>
            </w:r>
          </w:p>
          <w:p>
            <w:pPr>
              <w:pStyle w:val="19"/>
              <w:widowControl w:val="false"/>
              <w:rPr>
                <w:rFonts w:ascii="Liberation Serif" w:hAnsi="Liberation Serif"/>
              </w:rPr>
            </w:pPr>
            <w:r>
              <w:rPr>
                <w:rFonts w:ascii="Liberation Serif" w:hAnsi="Liberation Serif"/>
              </w:rPr>
            </w:r>
          </w:p>
        </w:tc>
        <w:tc>
          <w:tcPr>
            <w:tcW w:w="111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.vsd</w:t>
            </w:r>
          </w:p>
        </w:tc>
        <w:tc>
          <w:tcPr>
            <w:tcW w:w="250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AlterOffice</w:t>
            </w:r>
          </w:p>
        </w:tc>
        <w:tc>
          <w:tcPr>
            <w:tcW w:w="11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.odg</w:t>
            </w:r>
          </w:p>
        </w:tc>
      </w:tr>
      <w:tr>
        <w:trPr>
          <w:trHeight w:val="314" w:hRule="atLeast"/>
        </w:trPr>
        <w:tc>
          <w:tcPr>
            <w:tcW w:w="243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Чертежи</w:t>
            </w:r>
          </w:p>
        </w:tc>
        <w:tc>
          <w:tcPr>
            <w:tcW w:w="3060"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ascii="Liberation Serif" w:hAnsi="Liberation Serif"/>
              </w:rPr>
            </w:r>
          </w:p>
        </w:tc>
        <w:tc>
          <w:tcPr>
            <w:tcW w:w="111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.dwg</w:t>
            </w:r>
          </w:p>
        </w:tc>
        <w:tc>
          <w:tcPr>
            <w:tcW w:w="250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NanoCAD</w:t>
            </w:r>
          </w:p>
        </w:tc>
        <w:tc>
          <w:tcPr>
            <w:tcW w:w="113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.dwg</w:t>
            </w:r>
          </w:p>
        </w:tc>
      </w:tr>
      <w:tr>
        <w:trPr>
          <w:trHeight w:val="314" w:hRule="atLeast"/>
        </w:trPr>
        <w:tc>
          <w:tcPr>
            <w:tcW w:w="24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ascii="Liberation Serif" w:hAnsi="Liberation Serif"/>
              </w:rPr>
            </w:r>
          </w:p>
        </w:tc>
        <w:tc>
          <w:tcPr>
            <w:tcW w:w="3060"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ascii="Liberation Serif" w:hAnsi="Liberation Serif"/>
              </w:rPr>
            </w:r>
          </w:p>
        </w:tc>
        <w:tc>
          <w:tcPr>
            <w:tcW w:w="111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.pdf</w:t>
            </w:r>
          </w:p>
        </w:tc>
        <w:tc>
          <w:tcPr>
            <w:tcW w:w="250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Окуляр ГОСТ</w:t>
            </w:r>
          </w:p>
        </w:tc>
        <w:tc>
          <w:tcPr>
            <w:tcW w:w="11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.pdf</w:t>
            </w:r>
          </w:p>
        </w:tc>
      </w:tr>
      <w:tr>
        <w:trPr>
          <w:trHeight w:val="314" w:hRule="atLeast"/>
        </w:trPr>
        <w:tc>
          <w:tcPr>
            <w:tcW w:w="243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Графический материал</w:t>
            </w:r>
          </w:p>
        </w:tc>
        <w:tc>
          <w:tcPr>
            <w:tcW w:w="3060"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cs="Liberation Serif"/>
              </w:rPr>
            </w:pPr>
            <w:r>
              <w:rPr>
                <w:rFonts w:cs="Liberation Serif" w:ascii="Liberation Serif" w:hAnsi="Liberation Serif"/>
              </w:rPr>
            </w:r>
          </w:p>
          <w:p>
            <w:pPr>
              <w:pStyle w:val="19"/>
              <w:widowControl w:val="false"/>
              <w:rPr>
                <w:rFonts w:ascii="Liberation Serif" w:hAnsi="Liberation Serif"/>
              </w:rPr>
            </w:pPr>
            <w:r>
              <w:rPr>
                <w:rFonts w:ascii="Liberation Serif" w:hAnsi="Liberation Serif"/>
              </w:rPr>
            </w:r>
          </w:p>
        </w:tc>
        <w:tc>
          <w:tcPr>
            <w:tcW w:w="111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lang w:val="en-US"/>
              </w:rPr>
              <w:t>j</w:t>
            </w:r>
            <w:r>
              <w:rPr>
                <w:rFonts w:cs="Liberation Serif" w:ascii="Liberation Serif" w:hAnsi="Liberation Serif"/>
                <w:sz w:val="24"/>
              </w:rPr>
              <w:t>pg</w:t>
            </w:r>
          </w:p>
        </w:tc>
        <w:tc>
          <w:tcPr>
            <w:tcW w:w="250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AlterOffice</w:t>
            </w:r>
          </w:p>
        </w:tc>
        <w:tc>
          <w:tcPr>
            <w:tcW w:w="113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jpg</w:t>
            </w:r>
          </w:p>
        </w:tc>
      </w:tr>
      <w:tr>
        <w:trPr>
          <w:trHeight w:val="314" w:hRule="atLeast"/>
        </w:trPr>
        <w:tc>
          <w:tcPr>
            <w:tcW w:w="24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cs="Liberation Serif"/>
              </w:rPr>
            </w:pPr>
            <w:r>
              <w:rPr>
                <w:rFonts w:cs="Liberation Serif" w:ascii="Liberation Serif" w:hAnsi="Liberation Serif"/>
              </w:rPr>
            </w:r>
          </w:p>
          <w:p>
            <w:pPr>
              <w:pStyle w:val="19"/>
              <w:widowControl w:val="false"/>
              <w:rPr>
                <w:rFonts w:ascii="Liberation Serif" w:hAnsi="Liberation Serif"/>
              </w:rPr>
            </w:pPr>
            <w:r>
              <w:rPr>
                <w:rFonts w:ascii="Liberation Serif" w:hAnsi="Liberation Serif"/>
              </w:rPr>
            </w:r>
          </w:p>
        </w:tc>
        <w:tc>
          <w:tcPr>
            <w:tcW w:w="3060"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cs="Liberation Serif"/>
              </w:rPr>
            </w:pPr>
            <w:r>
              <w:rPr>
                <w:rFonts w:cs="Liberation Serif" w:ascii="Liberation Serif" w:hAnsi="Liberation Serif"/>
              </w:rPr>
            </w:r>
          </w:p>
          <w:p>
            <w:pPr>
              <w:pStyle w:val="19"/>
              <w:widowControl w:val="false"/>
              <w:rPr>
                <w:rFonts w:ascii="Liberation Serif" w:hAnsi="Liberation Serif"/>
              </w:rPr>
            </w:pPr>
            <w:r>
              <w:rPr>
                <w:rFonts w:ascii="Liberation Serif" w:hAnsi="Liberation Serif"/>
              </w:rPr>
            </w:r>
          </w:p>
        </w:tc>
        <w:tc>
          <w:tcPr>
            <w:tcW w:w="111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.pdf</w:t>
            </w:r>
          </w:p>
        </w:tc>
        <w:tc>
          <w:tcPr>
            <w:tcW w:w="250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Окуляр ГОСТ</w:t>
            </w:r>
          </w:p>
        </w:tc>
        <w:tc>
          <w:tcPr>
            <w:tcW w:w="11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.pdf</w:t>
            </w:r>
          </w:p>
        </w:tc>
      </w:tr>
      <w:tr>
        <w:trPr>
          <w:trHeight w:val="314" w:hRule="atLeast"/>
        </w:trPr>
        <w:tc>
          <w:tcPr>
            <w:tcW w:w="24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Электронный архив</w:t>
            </w:r>
          </w:p>
        </w:tc>
        <w:tc>
          <w:tcPr>
            <w:tcW w:w="3060"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WinRar</w:t>
            </w:r>
          </w:p>
        </w:tc>
        <w:tc>
          <w:tcPr>
            <w:tcW w:w="111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.rar *</w:t>
            </w:r>
          </w:p>
        </w:tc>
        <w:tc>
          <w:tcPr>
            <w:tcW w:w="250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WinRar</w:t>
            </w:r>
          </w:p>
        </w:tc>
        <w:tc>
          <w:tcPr>
            <w:tcW w:w="11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.rar *</w:t>
            </w:r>
          </w:p>
        </w:tc>
      </w:tr>
      <w:tr>
        <w:trPr>
          <w:trHeight w:val="1941" w:hRule="atLeast"/>
        </w:trPr>
        <w:tc>
          <w:tcPr>
            <w:tcW w:w="243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cs="Liberation Serif"/>
              </w:rPr>
            </w:pPr>
            <w:r>
              <w:rPr>
                <w:rFonts w:cs="Liberation Serif" w:ascii="Liberation Serif" w:hAnsi="Liberation Serif"/>
              </w:rPr>
            </w:r>
          </w:p>
          <w:p>
            <w:pPr>
              <w:pStyle w:val="Standard"/>
              <w:widowControl w:val="false"/>
              <w:spacing w:before="0" w:after="0"/>
              <w:jc w:val="center"/>
              <w:rPr>
                <w:rFonts w:ascii="Liberation Serif" w:hAnsi="Liberation Serif"/>
              </w:rPr>
            </w:pPr>
            <w:r>
              <w:rPr>
                <w:rFonts w:cs="Liberation Serif" w:ascii="Liberation Serif" w:hAnsi="Liberation Serif"/>
                <w:sz w:val="24"/>
              </w:rPr>
              <w:t>Сметная документация</w:t>
            </w:r>
          </w:p>
          <w:p>
            <w:pPr>
              <w:pStyle w:val="19"/>
              <w:widowControl w:val="false"/>
              <w:rPr>
                <w:rFonts w:ascii="Liberation Serif" w:hAnsi="Liberation Serif"/>
              </w:rPr>
            </w:pPr>
            <w:r>
              <w:rPr>
                <w:rFonts w:ascii="Liberation Serif" w:hAnsi="Liberation Serif"/>
              </w:rPr>
            </w:r>
          </w:p>
        </w:tc>
        <w:tc>
          <w:tcPr>
            <w:tcW w:w="3060" w:type="dxa"/>
            <w:vMerge w:val="restart"/>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«ГРАНД СМЕТА», позволяющем вести накопительные ведомости по локальным сметам</w:t>
            </w:r>
          </w:p>
        </w:tc>
        <w:tc>
          <w:tcPr>
            <w:tcW w:w="111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.xls</w:t>
            </w:r>
          </w:p>
          <w:p>
            <w:pPr>
              <w:pStyle w:val="19"/>
              <w:widowControl w:val="false"/>
              <w:rPr>
                <w:rFonts w:ascii="Liberation Serif" w:hAnsi="Liberation Serif"/>
              </w:rPr>
            </w:pPr>
            <w:r>
              <w:rPr>
                <w:rFonts w:ascii="Liberation Serif" w:hAnsi="Liberation Serif"/>
              </w:rPr>
            </w:r>
          </w:p>
        </w:tc>
        <w:tc>
          <w:tcPr>
            <w:tcW w:w="250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AlterOffice и в формате программы  «ГРАНД СМЕТА», позволяющем вести накопительные ведомости по локальным сметам</w:t>
            </w:r>
          </w:p>
        </w:tc>
        <w:tc>
          <w:tcPr>
            <w:tcW w:w="1139" w:type="dxa"/>
            <w:tcBorders>
              <w:top w:val="single" w:sz="4" w:space="0" w:color="00000A"/>
              <w:left w:val="single" w:sz="8" w:space="0" w:color="00000A"/>
              <w:bottom w:val="single" w:sz="4"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cs="Liberation Serif"/>
                <w:color w:val="000000"/>
              </w:rPr>
            </w:pPr>
            <w:r>
              <w:rPr>
                <w:rFonts w:cs="Liberation Serif" w:ascii="Liberation Serif" w:hAnsi="Liberation Serif"/>
                <w:color w:val="000000"/>
              </w:rPr>
            </w:r>
          </w:p>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 xml:space="preserve">.ods </w:t>
            </w:r>
          </w:p>
          <w:p>
            <w:pPr>
              <w:pStyle w:val="19"/>
              <w:widowControl w:val="false"/>
              <w:rPr>
                <w:rFonts w:ascii="Liberation Serif" w:hAnsi="Liberation Serif"/>
              </w:rPr>
            </w:pPr>
            <w:r>
              <w:rPr>
                <w:rFonts w:ascii="Liberation Serif" w:hAnsi="Liberation Serif"/>
              </w:rPr>
            </w:r>
          </w:p>
        </w:tc>
      </w:tr>
      <w:tr>
        <w:trPr>
          <w:trHeight w:val="113" w:hRule="atLeast"/>
        </w:trPr>
        <w:tc>
          <w:tcPr>
            <w:tcW w:w="24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cs="Liberation Serif"/>
              </w:rPr>
            </w:pPr>
            <w:r>
              <w:rPr>
                <w:rFonts w:cs="Liberation Serif" w:ascii="Liberation Serif" w:hAnsi="Liberation Serif"/>
              </w:rPr>
            </w:r>
          </w:p>
        </w:tc>
        <w:tc>
          <w:tcPr>
            <w:tcW w:w="3060" w:type="dxa"/>
            <w:vMerge w:val="continue"/>
            <w:tcBorders>
              <w:top w:val="single" w:sz="4" w:space="0" w:color="00000A"/>
              <w:left w:val="single" w:sz="8" w:space="0" w:color="00000A"/>
              <w:bottom w:val="single" w:sz="4" w:space="0" w:color="00000A"/>
              <w:right w:val="single" w:sz="8" w:space="0" w:color="00000A"/>
            </w:tcBorders>
            <w:shd w:fill="FFFFFF" w:val="clear"/>
            <w:vAlign w:val="center"/>
          </w:tcPr>
          <w:p>
            <w:pPr>
              <w:pStyle w:val="Normal"/>
              <w:widowControl w:val="false"/>
              <w:rPr>
                <w:rFonts w:ascii="Liberation Serif" w:hAnsi="Liberation Serif"/>
              </w:rPr>
            </w:pPr>
            <w:r>
              <w:rPr>
                <w:rFonts w:ascii="Liberation Serif" w:hAnsi="Liberation Serif"/>
              </w:rPr>
            </w:r>
          </w:p>
        </w:tc>
        <w:tc>
          <w:tcPr>
            <w:tcW w:w="111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sz w:val="24"/>
              </w:rPr>
              <w:t>.gsf</w:t>
            </w:r>
          </w:p>
        </w:tc>
        <w:tc>
          <w:tcPr>
            <w:tcW w:w="250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cs="Liberation Serif"/>
              </w:rPr>
            </w:pPr>
            <w:r>
              <w:rPr>
                <w:rFonts w:cs="Liberation Serif" w:ascii="Liberation Serif" w:hAnsi="Liberation Serif"/>
              </w:rPr>
            </w:r>
          </w:p>
        </w:tc>
        <w:tc>
          <w:tcPr>
            <w:tcW w:w="1139" w:type="dxa"/>
            <w:tcBorders>
              <w:top w:val="single" w:sz="8" w:space="0" w:color="00000A"/>
              <w:left w:val="single" w:sz="8" w:space="0" w:color="00000A"/>
              <w:bottom w:val="single" w:sz="8" w:space="0" w:color="00000A"/>
              <w:right w:val="single" w:sz="8" w:space="0" w:color="00000A"/>
            </w:tcBorders>
            <w:shd w:fill="FFFFFF" w:val="clear"/>
            <w:vAlign w:val="center"/>
          </w:tcPr>
          <w:p>
            <w:pPr>
              <w:pStyle w:val="Standard"/>
              <w:widowControl w:val="false"/>
              <w:spacing w:before="0" w:after="0"/>
              <w:jc w:val="center"/>
              <w:rPr>
                <w:rFonts w:ascii="Liberation Serif" w:hAnsi="Liberation Serif"/>
              </w:rPr>
            </w:pPr>
            <w:r>
              <w:rPr>
                <w:rFonts w:cs="Liberation Serif" w:ascii="Liberation Serif" w:hAnsi="Liberation Serif"/>
                <w:color w:val="000000"/>
                <w:sz w:val="24"/>
              </w:rPr>
              <w:t>.gsf</w:t>
            </w:r>
          </w:p>
        </w:tc>
      </w:tr>
    </w:tbl>
    <w:p>
      <w:pPr>
        <w:pStyle w:val="Standard"/>
        <w:spacing w:before="0" w:after="0"/>
        <w:jc w:val="both"/>
        <w:rPr>
          <w:rFonts w:ascii="Liberation Serif" w:hAnsi="Liberation Serif"/>
          <w:sz w:val="26"/>
          <w:szCs w:val="26"/>
        </w:rPr>
      </w:pPr>
      <w:r>
        <w:rPr>
          <w:rFonts w:cs="Liberation Serif" w:ascii="Liberation Serif" w:hAnsi="Liberation Serif"/>
          <w:sz w:val="26"/>
          <w:szCs w:val="26"/>
        </w:rPr>
        <w:t xml:space="preserve">      </w:t>
      </w:r>
      <w:r>
        <w:rPr>
          <w:rFonts w:cs="Liberation Serif" w:ascii="Liberation Serif" w:hAnsi="Liberation Serif"/>
          <w:sz w:val="26"/>
          <w:szCs w:val="26"/>
        </w:rPr>
        <w:t>*- материалы каждого тома проекта компоновать в одном файле</w:t>
      </w:r>
    </w:p>
    <w:p>
      <w:pPr>
        <w:pStyle w:val="Standard"/>
        <w:spacing w:before="0" w:after="0"/>
        <w:jc w:val="both"/>
        <w:rPr>
          <w:rFonts w:ascii="Liberation Serif" w:hAnsi="Liberation Serif" w:cs="Liberation Serif"/>
          <w:sz w:val="26"/>
          <w:szCs w:val="26"/>
        </w:rPr>
      </w:pPr>
      <w:r>
        <w:rPr>
          <w:rFonts w:cs="Liberation Serif" w:ascii="Liberation Serif" w:hAnsi="Liberation Serif"/>
          <w:sz w:val="26"/>
          <w:szCs w:val="26"/>
        </w:rPr>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7</w:t>
      </w:r>
      <w:r>
        <w:rPr>
          <w:rFonts w:cs="Liberation Serif" w:ascii="Liberation Serif" w:hAnsi="Liberation Serif"/>
          <w:sz w:val="26"/>
          <w:szCs w:val="26"/>
        </w:rPr>
        <w:t>.3. Не допускается передача материалов работы в формате *.PDF с пофайловым разделением страниц.</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7</w:t>
      </w:r>
      <w:r>
        <w:rPr>
          <w:rFonts w:cs="Liberation Serif" w:ascii="Liberation Serif" w:hAnsi="Liberation Serif"/>
          <w:sz w:val="26"/>
          <w:szCs w:val="26"/>
        </w:rPr>
        <w:t xml:space="preserve">.4. </w:t>
      </w:r>
      <w:r>
        <w:rPr>
          <w:rFonts w:ascii="Liberation Serif" w:hAnsi="Liberation Serif"/>
          <w:sz w:val="26"/>
          <w:szCs w:val="26"/>
        </w:rPr>
        <w:t xml:space="preserve">Документация, направляемая на согласование, должна содержать полный перечень разрабатываемых томов и разделов. </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При направлении на согласование откорректированных материалов должены быть приложены ответы на замечания с указанием разделов и страниц проектной документации, в которые были внесены изменения, перечень направляемых томов (разделов) с указанием страниц, в которые были внесены изменения. Кроме того, указанные изменения должны быть выделены цветом по тексту документов (либо предоставляется отчет в формате *.DOCX, с использованием стандартной функции «режим рецензирования»).</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7</w:t>
      </w:r>
      <w:r>
        <w:rPr>
          <w:rFonts w:cs="Liberation Serif" w:ascii="Liberation Serif" w:hAnsi="Liberation Serif"/>
          <w:sz w:val="26"/>
          <w:szCs w:val="26"/>
        </w:rPr>
        <w:t>.5. Разработанная проектно-сметная документация является собственностью Заказчика и передача её третьим лицам без его согласия запрещается.</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7</w:t>
      </w:r>
      <w:r>
        <w:rPr>
          <w:rFonts w:cs="Liberation Serif" w:ascii="Liberation Serif" w:hAnsi="Liberation Serif"/>
          <w:sz w:val="26"/>
          <w:szCs w:val="26"/>
        </w:rPr>
        <w:t>.6. Исключительные права на разработанную в рамках договора проектно-сметную документацию и на результаты выполнения изыскательских работ принадлежат Заказчику с момента приемки проектно-сметной документации и результата выполнения изыскательских работ. Заказчик вправе использовать разработанную Подрядчиком в рамках договора проектно-сметную документацию и результат выполнения изыскательских работ без согласия Подрядчика в любых целях по усмотрению Заказчика неограниченное число раз. Подрядчик не вправе требовать предоставления права на участие в реализации проекта, предусмотренного документацией.</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7</w:t>
      </w:r>
      <w:r>
        <w:rPr>
          <w:rFonts w:cs="Liberation Serif" w:ascii="Liberation Serif" w:hAnsi="Liberation Serif"/>
          <w:sz w:val="26"/>
          <w:szCs w:val="26"/>
        </w:rPr>
        <w:t>.7. Проектная организация включает в стоимость проектных работ затраты, и осуществляет от лица Заказчика получение по проекту всех необходимых согласований и заключений, положительного заключения Госэкспертизы проектной документации и результатов инженерных изысканий, проверку достоверности определения сметной стоимости строительства.</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7</w:t>
      </w:r>
      <w:r>
        <w:rPr>
          <w:rFonts w:cs="Liberation Serif" w:ascii="Liberation Serif" w:hAnsi="Liberation Serif"/>
          <w:sz w:val="26"/>
          <w:szCs w:val="26"/>
        </w:rPr>
        <w:t>.8. Проектная организация обеспечивает согласование разработанной проектно-сметной и рабочей документации с заинтересованными государственными надзорными органами, организациями природопользования и охраны окружающей среды, земле и лесопользователями, эксплуатирующими организациями инженерных коммуникаций и другими заинтересованными организациями.</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7</w:t>
      </w:r>
      <w:r>
        <w:rPr>
          <w:rFonts w:cs="Liberation Serif" w:ascii="Liberation Serif" w:hAnsi="Liberation Serif"/>
          <w:sz w:val="26"/>
          <w:szCs w:val="26"/>
        </w:rPr>
        <w:t>.9. Проектная организация устраняет за свой счет все замечания к проектно-сметной документации, полученные от Заказчика, Госэкспертизы или организации, в течение 7 (семи) рабочих дней после их получения, но не позднее срока окончания экспертизы, установленного в договоре на проведение экспертизы.</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7</w:t>
      </w:r>
      <w:r>
        <w:rPr>
          <w:rFonts w:cs="Liberation Serif" w:ascii="Liberation Serif" w:hAnsi="Liberation Serif"/>
          <w:sz w:val="26"/>
          <w:szCs w:val="26"/>
        </w:rPr>
        <w:t>.10. При повторном обращении в Госэкспертизу, необходимость которого возникла вследствие неустранения или ненадлежащего устранения Проектной организацией замечаний при проведении экспертизы, расходы по проведению повторной и последующих экспертиз проектно-сметной документации компенсируются Проектной организацией.</w:t>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7</w:t>
      </w:r>
      <w:r>
        <w:rPr>
          <w:rFonts w:cs="Liberation Serif" w:ascii="Liberation Serif" w:hAnsi="Liberation Serif"/>
          <w:sz w:val="26"/>
          <w:szCs w:val="26"/>
        </w:rPr>
        <w:t>.11. В составе проектной документации разработать техническую часть конкурсной документации на строительно-монтажные работы и оборудование, с разбивкой по этапам выполнения.</w:t>
      </w:r>
    </w:p>
    <w:p>
      <w:pPr>
        <w:pStyle w:val="Standard"/>
        <w:tabs>
          <w:tab w:val="clear" w:pos="709"/>
          <w:tab w:val="left" w:pos="1078" w:leader="none"/>
        </w:tabs>
        <w:ind w:left="0" w:right="0" w:firstLine="709"/>
        <w:jc w:val="both"/>
        <w:rPr>
          <w:rFonts w:ascii="Liberation Serif" w:hAnsi="Liberation Serif" w:cs="Liberation Serif"/>
          <w:b/>
          <w:sz w:val="26"/>
          <w:szCs w:val="26"/>
        </w:rPr>
      </w:pPr>
      <w:r>
        <w:rPr>
          <w:rFonts w:cs="Liberation Serif" w:ascii="Liberation Serif" w:hAnsi="Liberation Serif"/>
          <w:b/>
          <w:sz w:val="26"/>
          <w:szCs w:val="26"/>
        </w:rPr>
      </w:r>
    </w:p>
    <w:p>
      <w:pPr>
        <w:pStyle w:val="Standard"/>
        <w:spacing w:before="0" w:after="0"/>
        <w:ind w:left="0" w:right="0" w:firstLine="709"/>
        <w:jc w:val="both"/>
        <w:rPr>
          <w:rFonts w:ascii="Liberation Serif" w:hAnsi="Liberation Serif"/>
          <w:sz w:val="26"/>
          <w:szCs w:val="26"/>
        </w:rPr>
      </w:pPr>
      <w:r>
        <w:rPr>
          <w:rFonts w:cs="Liberation Serif" w:ascii="Liberation Serif" w:hAnsi="Liberation Serif"/>
          <w:b/>
          <w:sz w:val="26"/>
          <w:szCs w:val="26"/>
        </w:rPr>
        <w:t>8</w:t>
      </w:r>
      <w:r>
        <w:rPr>
          <w:rFonts w:cs="Liberation Serif" w:ascii="Liberation Serif" w:hAnsi="Liberation Serif"/>
          <w:b/>
          <w:sz w:val="26"/>
          <w:szCs w:val="26"/>
        </w:rPr>
        <w:t>. Исходные данные для проектирования.</w:t>
      </w:r>
    </w:p>
    <w:p>
      <w:pPr>
        <w:pStyle w:val="Standard"/>
        <w:tabs>
          <w:tab w:val="clear" w:pos="709"/>
          <w:tab w:val="left" w:pos="988" w:leader="none"/>
        </w:tabs>
        <w:spacing w:before="0" w:after="0"/>
        <w:ind w:left="0" w:right="0" w:firstLine="709"/>
        <w:jc w:val="both"/>
        <w:rPr>
          <w:rFonts w:ascii="Liberation Serif" w:hAnsi="Liberation Serif"/>
          <w:sz w:val="26"/>
          <w:szCs w:val="26"/>
        </w:rPr>
      </w:pPr>
      <w:r>
        <w:rPr>
          <w:rFonts w:cs="Liberation Serif" w:ascii="Liberation Serif" w:hAnsi="Liberation Serif"/>
          <w:sz w:val="26"/>
          <w:szCs w:val="26"/>
        </w:rPr>
        <w:t>Перечень исходных данных, сроки их подготовки и передачи Заказчиком проектной организации определяются договором на выполнение работ и календарным графиком.</w:t>
      </w:r>
    </w:p>
    <w:p>
      <w:pPr>
        <w:pStyle w:val="Standard"/>
        <w:tabs>
          <w:tab w:val="clear" w:pos="709"/>
          <w:tab w:val="left" w:pos="988" w:leader="none"/>
        </w:tabs>
        <w:spacing w:before="0" w:after="0"/>
        <w:ind w:left="0" w:right="0" w:firstLine="709"/>
        <w:jc w:val="both"/>
        <w:rPr>
          <w:rFonts w:ascii="Liberation Serif" w:hAnsi="Liberation Serif" w:cs="Liberation Serif"/>
          <w:sz w:val="26"/>
          <w:szCs w:val="26"/>
        </w:rPr>
      </w:pPr>
      <w:r>
        <w:rPr>
          <w:rFonts w:cs="Liberation Serif" w:ascii="Liberation Serif" w:hAnsi="Liberation Serif"/>
          <w:sz w:val="26"/>
          <w:szCs w:val="26"/>
        </w:rPr>
      </w:r>
    </w:p>
    <w:p>
      <w:pPr>
        <w:pStyle w:val="Standard"/>
        <w:spacing w:before="0" w:after="0"/>
        <w:ind w:left="0" w:right="0" w:firstLine="709"/>
        <w:jc w:val="both"/>
        <w:rPr>
          <w:rFonts w:ascii="Liberation Serif" w:hAnsi="Liberation Serif"/>
          <w:sz w:val="26"/>
          <w:szCs w:val="26"/>
        </w:rPr>
      </w:pPr>
      <w:r>
        <w:rPr/>
      </w:r>
    </w:p>
    <w:p>
      <w:pPr>
        <w:pStyle w:val="Standard"/>
        <w:spacing w:before="0" w:after="0"/>
        <w:ind w:left="0" w:right="0" w:firstLine="709"/>
        <w:jc w:val="both"/>
        <w:rPr>
          <w:rFonts w:ascii="Liberation Serif" w:hAnsi="Liberation Serif"/>
          <w:sz w:val="26"/>
          <w:szCs w:val="26"/>
        </w:rPr>
      </w:pPr>
      <w:r>
        <w:rPr/>
      </w:r>
    </w:p>
    <w:sectPr>
      <w:type w:val="nextPage"/>
      <w:pgSz w:w="12240" w:h="15840"/>
      <w:pgMar w:left="1134" w:right="567" w:gutter="0" w:header="0" w:top="1134" w:footer="0" w:bottom="923"/>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Cambria">
    <w:charset w:val="01"/>
    <w:family w:val="roman"/>
    <w:pitch w:val="variable"/>
  </w:font>
  <w:font w:name="OpenSymbol">
    <w:altName w:val="Arial Unicode MS"/>
    <w:charset w:val="01"/>
    <w:family w:val="roman"/>
    <w:pitch w:val="variable"/>
  </w:font>
  <w:font w:name="Symbol">
    <w:charset w:val="01"/>
    <w:family w:val="roman"/>
    <w:pitch w:val="variable"/>
  </w:font>
  <w:font w:name="'Courier New'">
    <w:charset w:val="01"/>
    <w:family w:val="roman"/>
    <w:pitch w:val="variable"/>
  </w:font>
  <w:font w:name="Wingdings">
    <w:charset w:val="01"/>
    <w:family w:val="roman"/>
    <w:pitch w:val="variable"/>
  </w:font>
  <w:font w:name="StarSymbol">
    <w:altName w:val="Arial Unicode MS"/>
    <w:charset w:val="01"/>
    <w:family w:val="roman"/>
    <w:pitch w:val="variable"/>
  </w:font>
  <w:font w:name="Segoe UI">
    <w:charset w:val="01"/>
    <w:family w:val="roman"/>
    <w:pitch w:val="variable"/>
  </w:font>
  <w:font w:name="Liberation Sans">
    <w:altName w:val="Arial"/>
    <w:charset w:val="01"/>
    <w:family w:val="roman"/>
    <w:pitch w:val="variable"/>
  </w:font>
  <w:font w:name="Verdana">
    <w:charset w:val="01"/>
    <w:family w:val="roman"/>
    <w:pitch w:val="variable"/>
  </w:font>
  <w:font w:name="Courier New">
    <w:charset w:val="01"/>
    <w:family w:val="roman"/>
    <w:pitch w:val="variable"/>
  </w:font>
  <w:font w:name="Helvetica Neue">
    <w:charset w:val="01"/>
    <w:family w:val="roman"/>
    <w:pitch w:val="variable"/>
  </w:font>
  <w:font w:name="Liberation Serif">
    <w:altName w:val="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 w:name="Arial">
    <w:charset w:val="01"/>
    <w:family w:val="swiss"/>
    <w:pitch w:val="default"/>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6" w:hanging="360"/>
      </w:pPr>
      <w:rPr>
        <w:rFonts w:ascii="Wingdings" w:hAnsi="Wingdings" w:cs="Wingdings" w:hint="default"/>
      </w:rPr>
    </w:lvl>
  </w:abstractNum>
  <w:abstractNum w:abstractNumId="2">
    <w:lvl w:ilvl="0">
      <w:start w:val="1"/>
      <w:numFmt w:val="bullet"/>
      <w:lvlText w:val=""/>
      <w:lvlJc w:val="left"/>
      <w:pPr>
        <w:tabs>
          <w:tab w:val="num" w:pos="0"/>
        </w:tabs>
        <w:ind w:left="1428" w:hanging="360"/>
      </w:pPr>
      <w:rPr>
        <w:rFonts w:ascii="Symbol" w:hAnsi="Symbol" w:cs="Symbol" w:hint="default"/>
        <w:sz w:val="26"/>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b/>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
    <w:lvl w:ilvl="0">
      <w:start w:val="1"/>
      <w:numFmt w:val="bullet"/>
      <w:lvlText w:val=""/>
      <w:lvlJc w:val="left"/>
      <w:pPr>
        <w:tabs>
          <w:tab w:val="num" w:pos="0"/>
        </w:tabs>
        <w:ind w:left="1429" w:hanging="360"/>
      </w:pPr>
      <w:rPr>
        <w:rFonts w:ascii="Symbol" w:hAnsi="Symbol" w:cs="Symbol" w:hint="default"/>
        <w:b w:val="false"/>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b/>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Symbol" w:hAnsi="Symbol" w:cs="Symbol" w:hint="default"/>
      </w:rPr>
    </w:lvl>
    <w:lvl w:ilvl="2">
      <w:start w:val="1"/>
      <w:numFmt w:val="bullet"/>
      <w:lvlText w:val=""/>
      <w:lvlJc w:val="left"/>
      <w:pPr>
        <w:tabs>
          <w:tab w:val="num" w:pos="0"/>
        </w:tabs>
        <w:ind w:left="1440" w:hanging="360"/>
      </w:pPr>
      <w:rPr>
        <w:rFonts w:ascii="Symbol" w:hAnsi="Symbol" w:cs="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rPr>
    </w:lvl>
    <w:lvl w:ilvl="5">
      <w:start w:val="1"/>
      <w:numFmt w:val="bullet"/>
      <w:lvlText w:val=""/>
      <w:lvlJc w:val="left"/>
      <w:pPr>
        <w:tabs>
          <w:tab w:val="num" w:pos="0"/>
        </w:tabs>
        <w:ind w:left="2520" w:hanging="360"/>
      </w:pPr>
      <w:rPr>
        <w:rFonts w:ascii="Symbol" w:hAnsi="Symbol" w:cs="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Symbol" w:hAnsi="Symbol" w:cs="Symbol" w:hint="default"/>
      </w:rPr>
    </w:lvl>
    <w:lvl w:ilvl="8">
      <w:start w:val="1"/>
      <w:numFmt w:val="bullet"/>
      <w:lvlText w:val=""/>
      <w:lvlJc w:val="left"/>
      <w:pPr>
        <w:tabs>
          <w:tab w:val="num" w:pos="0"/>
        </w:tabs>
        <w:ind w:left="3600" w:hanging="360"/>
      </w:pPr>
      <w:rPr>
        <w:rFonts w:ascii="Symbol" w:hAnsi="Symbol" w:cs="Symbol" w:hint="default"/>
      </w:rPr>
    </w:lvl>
  </w:abstractNum>
  <w:abstractNum w:abstractNumId="9">
    <w:lvl w:ilvl="0">
      <w:start w:val="1"/>
      <w:numFmt w:val="bullet"/>
      <w:lvlText w:val="–"/>
      <w:lvlJc w:val="left"/>
      <w:pPr>
        <w:tabs>
          <w:tab w:val="num" w:pos="0"/>
        </w:tabs>
        <w:ind w:left="1418" w:hanging="360"/>
      </w:pPr>
      <w:rPr>
        <w:rFonts w:ascii="Arial" w:hAnsi="Arial" w:cs="Arial" w:hint="default"/>
        <w:sz w:val="26"/>
      </w:rPr>
    </w:lvl>
    <w:lvl w:ilvl="1">
      <w:start w:val="1"/>
      <w:numFmt w:val="bullet"/>
      <w:lvlText w:val="o"/>
      <w:lvlJc w:val="left"/>
      <w:pPr>
        <w:tabs>
          <w:tab w:val="num" w:pos="0"/>
        </w:tabs>
        <w:ind w:left="2138" w:hanging="360"/>
      </w:pPr>
      <w:rPr>
        <w:rFonts w:ascii="Courier New" w:hAnsi="Courier New" w:cs="Courier New" w:hint="default"/>
      </w:rPr>
    </w:lvl>
    <w:lvl w:ilvl="2">
      <w:start w:val="1"/>
      <w:numFmt w:val="bullet"/>
      <w:lvlText w:val="§"/>
      <w:lvlJc w:val="left"/>
      <w:pPr>
        <w:tabs>
          <w:tab w:val="num" w:pos="0"/>
        </w:tabs>
        <w:ind w:left="2858" w:hanging="360"/>
      </w:pPr>
      <w:rPr>
        <w:rFonts w:ascii="Wingdings" w:hAnsi="Wingdings" w:cs="Wingdings" w:hint="default"/>
      </w:rPr>
    </w:lvl>
    <w:lvl w:ilvl="3">
      <w:start w:val="1"/>
      <w:numFmt w:val="bullet"/>
      <w:lvlText w:val="·"/>
      <w:lvlJc w:val="left"/>
      <w:pPr>
        <w:tabs>
          <w:tab w:val="num" w:pos="0"/>
        </w:tabs>
        <w:ind w:left="3578" w:hanging="360"/>
      </w:pPr>
      <w:rPr>
        <w:rFonts w:ascii="Symbol" w:hAnsi="Symbol" w:cs="Symbol" w:hint="default"/>
      </w:rPr>
    </w:lvl>
    <w:lvl w:ilvl="4">
      <w:start w:val="1"/>
      <w:numFmt w:val="bullet"/>
      <w:lvlText w:val="o"/>
      <w:lvlJc w:val="left"/>
      <w:pPr>
        <w:tabs>
          <w:tab w:val="num" w:pos="0"/>
        </w:tabs>
        <w:ind w:left="4298" w:hanging="360"/>
      </w:pPr>
      <w:rPr>
        <w:rFonts w:ascii="Courier New" w:hAnsi="Courier New" w:cs="Courier New" w:hint="default"/>
      </w:rPr>
    </w:lvl>
    <w:lvl w:ilvl="5">
      <w:start w:val="1"/>
      <w:numFmt w:val="bullet"/>
      <w:lvlText w:val="§"/>
      <w:lvlJc w:val="left"/>
      <w:pPr>
        <w:tabs>
          <w:tab w:val="num" w:pos="0"/>
        </w:tabs>
        <w:ind w:left="5018" w:hanging="360"/>
      </w:pPr>
      <w:rPr>
        <w:rFonts w:ascii="Wingdings" w:hAnsi="Wingdings" w:cs="Wingdings" w:hint="default"/>
      </w:rPr>
    </w:lvl>
    <w:lvl w:ilvl="6">
      <w:start w:val="1"/>
      <w:numFmt w:val="bullet"/>
      <w:lvlText w:val="·"/>
      <w:lvlJc w:val="left"/>
      <w:pPr>
        <w:tabs>
          <w:tab w:val="num" w:pos="0"/>
        </w:tabs>
        <w:ind w:left="5738" w:hanging="360"/>
      </w:pPr>
      <w:rPr>
        <w:rFonts w:ascii="Symbol" w:hAnsi="Symbol" w:cs="Symbol" w:hint="default"/>
      </w:rPr>
    </w:lvl>
    <w:lvl w:ilvl="7">
      <w:start w:val="1"/>
      <w:numFmt w:val="bullet"/>
      <w:lvlText w:val="o"/>
      <w:lvlJc w:val="left"/>
      <w:pPr>
        <w:tabs>
          <w:tab w:val="num" w:pos="0"/>
        </w:tabs>
        <w:ind w:left="6458" w:hanging="360"/>
      </w:pPr>
      <w:rPr>
        <w:rFonts w:ascii="Courier New" w:hAnsi="Courier New" w:cs="Courier New" w:hint="default"/>
      </w:rPr>
    </w:lvl>
    <w:lvl w:ilvl="8">
      <w:start w:val="1"/>
      <w:numFmt w:val="bullet"/>
      <w:lvlText w:val="§"/>
      <w:lvlJc w:val="left"/>
      <w:pPr>
        <w:tabs>
          <w:tab w:val="num" w:pos="0"/>
        </w:tabs>
        <w:ind w:left="7178" w:hanging="360"/>
      </w:pPr>
      <w:rPr>
        <w:rFonts w:ascii="Wingdings" w:hAnsi="Wingdings" w:cs="Wingdings" w:hint="default"/>
      </w:rPr>
    </w:lvl>
  </w:abstractNum>
  <w:abstractNum w:abstractNumId="10">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1">
    <w:lvl w:ilvl="0">
      <w:start w:val="1"/>
      <w:numFmt w:val="bullet"/>
      <w:lvlText w:val="–"/>
      <w:lvlJc w:val="left"/>
      <w:pPr>
        <w:tabs>
          <w:tab w:val="num" w:pos="0"/>
        </w:tabs>
        <w:ind w:left="1418" w:hanging="360"/>
      </w:pPr>
      <w:rPr>
        <w:rFonts w:ascii="Arial" w:hAnsi="Arial" w:cs="Arial" w:hint="default"/>
        <w:sz w:val="26"/>
      </w:rPr>
    </w:lvl>
    <w:lvl w:ilvl="1">
      <w:start w:val="1"/>
      <w:numFmt w:val="bullet"/>
      <w:lvlText w:val="o"/>
      <w:lvlJc w:val="left"/>
      <w:pPr>
        <w:tabs>
          <w:tab w:val="num" w:pos="0"/>
        </w:tabs>
        <w:ind w:left="2138" w:hanging="360"/>
      </w:pPr>
      <w:rPr>
        <w:rFonts w:ascii="Courier New" w:hAnsi="Courier New" w:cs="Courier New" w:hint="default"/>
      </w:rPr>
    </w:lvl>
    <w:lvl w:ilvl="2">
      <w:start w:val="1"/>
      <w:numFmt w:val="bullet"/>
      <w:lvlText w:val="§"/>
      <w:lvlJc w:val="left"/>
      <w:pPr>
        <w:tabs>
          <w:tab w:val="num" w:pos="0"/>
        </w:tabs>
        <w:ind w:left="2858" w:hanging="360"/>
      </w:pPr>
      <w:rPr>
        <w:rFonts w:ascii="Wingdings" w:hAnsi="Wingdings" w:cs="Wingdings" w:hint="default"/>
      </w:rPr>
    </w:lvl>
    <w:lvl w:ilvl="3">
      <w:start w:val="1"/>
      <w:numFmt w:val="bullet"/>
      <w:lvlText w:val="·"/>
      <w:lvlJc w:val="left"/>
      <w:pPr>
        <w:tabs>
          <w:tab w:val="num" w:pos="0"/>
        </w:tabs>
        <w:ind w:left="3578" w:hanging="360"/>
      </w:pPr>
      <w:rPr>
        <w:rFonts w:ascii="Symbol" w:hAnsi="Symbol" w:cs="Symbol" w:hint="default"/>
      </w:rPr>
    </w:lvl>
    <w:lvl w:ilvl="4">
      <w:start w:val="1"/>
      <w:numFmt w:val="bullet"/>
      <w:lvlText w:val="o"/>
      <w:lvlJc w:val="left"/>
      <w:pPr>
        <w:tabs>
          <w:tab w:val="num" w:pos="0"/>
        </w:tabs>
        <w:ind w:left="4298" w:hanging="360"/>
      </w:pPr>
      <w:rPr>
        <w:rFonts w:ascii="Courier New" w:hAnsi="Courier New" w:cs="Courier New" w:hint="default"/>
      </w:rPr>
    </w:lvl>
    <w:lvl w:ilvl="5">
      <w:start w:val="1"/>
      <w:numFmt w:val="bullet"/>
      <w:lvlText w:val="§"/>
      <w:lvlJc w:val="left"/>
      <w:pPr>
        <w:tabs>
          <w:tab w:val="num" w:pos="0"/>
        </w:tabs>
        <w:ind w:left="5018" w:hanging="360"/>
      </w:pPr>
      <w:rPr>
        <w:rFonts w:ascii="Wingdings" w:hAnsi="Wingdings" w:cs="Wingdings" w:hint="default"/>
      </w:rPr>
    </w:lvl>
    <w:lvl w:ilvl="6">
      <w:start w:val="1"/>
      <w:numFmt w:val="bullet"/>
      <w:lvlText w:val="·"/>
      <w:lvlJc w:val="left"/>
      <w:pPr>
        <w:tabs>
          <w:tab w:val="num" w:pos="0"/>
        </w:tabs>
        <w:ind w:left="5738" w:hanging="360"/>
      </w:pPr>
      <w:rPr>
        <w:rFonts w:ascii="Symbol" w:hAnsi="Symbol" w:cs="Symbol" w:hint="default"/>
      </w:rPr>
    </w:lvl>
    <w:lvl w:ilvl="7">
      <w:start w:val="1"/>
      <w:numFmt w:val="bullet"/>
      <w:lvlText w:val="o"/>
      <w:lvlJc w:val="left"/>
      <w:pPr>
        <w:tabs>
          <w:tab w:val="num" w:pos="0"/>
        </w:tabs>
        <w:ind w:left="6458" w:hanging="360"/>
      </w:pPr>
      <w:rPr>
        <w:rFonts w:ascii="Courier New" w:hAnsi="Courier New" w:cs="Courier New" w:hint="default"/>
      </w:rPr>
    </w:lvl>
    <w:lvl w:ilvl="8">
      <w:start w:val="1"/>
      <w:numFmt w:val="bullet"/>
      <w:lvlText w:val="§"/>
      <w:lvlJc w:val="left"/>
      <w:pPr>
        <w:tabs>
          <w:tab w:val="num" w:pos="0"/>
        </w:tabs>
        <w:ind w:left="7178"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sz w:val="26"/>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sz w:val="26"/>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sz w:val="26"/>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1353"/>
        </w:tabs>
        <w:ind w:left="1353" w:hanging="360"/>
      </w:pPr>
      <w:rPr>
        <w:rFonts w:ascii="Courier New" w:hAnsi="Courier New" w:cs="Courier New" w:hint="default"/>
        <w:dstrike w:val="false"/>
        <w:strike w:val="false"/>
        <w:sz w:val="26"/>
        <w:color w:val="00000A"/>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9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Lohit Devanagari"/>
        <w:lang w:val="ru-RU" w:eastAsia="zh-CN" w:bidi="hi-IN"/>
      </w:rPr>
    </w:rPrDefault>
    <w:pPrDefault>
      <w:pPr>
        <w:suppressAutoHyphens w:val="true"/>
      </w:pPr>
    </w:pPrDefault>
  </w:docDefaults>
  <w:style w:type="paragraph" w:styleId="Normal">
    <w:name w:val="Normal"/>
    <w:qFormat/>
    <w:pPr>
      <w:widowControl/>
      <w:suppressAutoHyphens w:val="false"/>
      <w:overflowPunct w:val="false"/>
      <w:bidi w:val="0"/>
      <w:spacing w:before="0" w:after="0"/>
      <w:jc w:val="left"/>
    </w:pPr>
    <w:rPr>
      <w:rFonts w:ascii="Times New Roman" w:hAnsi="Times New Roman" w:eastAsia="Noto Serif CJK SC" w:cs="Lohit Devanagari"/>
      <w:color w:val="00000A"/>
      <w:kern w:val="0"/>
      <w:sz w:val="20"/>
      <w:szCs w:val="20"/>
      <w:lang w:val="ru-RU" w:eastAsia="zh-CN" w:bidi="hi-IN"/>
    </w:rPr>
  </w:style>
  <w:style w:type="paragraph" w:styleId="Heading1">
    <w:name w:val="Heading 1"/>
    <w:basedOn w:val="Normal"/>
    <w:next w:val="Normal"/>
    <w:link w:val="Heading1Char"/>
    <w:qFormat/>
    <w:pPr>
      <w:keepNext w:val="true"/>
      <w:keepLines/>
      <w:numPr>
        <w:ilvl w:val="0"/>
        <w:numId w:val="0"/>
      </w:numPr>
      <w:spacing w:before="480" w:after="200"/>
      <w:outlineLvl w:val="0"/>
    </w:pPr>
    <w:rPr>
      <w:rFonts w:ascii="Arial" w:hAnsi="Arial" w:eastAsia="Arial" w:cs="Arial"/>
      <w:sz w:val="40"/>
      <w:szCs w:val="40"/>
    </w:rPr>
  </w:style>
  <w:style w:type="paragraph" w:styleId="Heading2">
    <w:name w:val="Heading 2"/>
    <w:basedOn w:val="Normal"/>
    <w:next w:val="Normal"/>
    <w:link w:val="Heading2Char"/>
    <w:qFormat/>
    <w:pPr>
      <w:keepNext w:val="true"/>
      <w:keepLines/>
      <w:numPr>
        <w:ilvl w:val="0"/>
        <w:numId w:val="0"/>
      </w:numPr>
      <w:spacing w:before="360" w:after="200"/>
      <w:outlineLvl w:val="1"/>
    </w:pPr>
    <w:rPr>
      <w:rFonts w:ascii="Arial" w:hAnsi="Arial" w:eastAsia="Arial" w:cs="Arial"/>
      <w:sz w:val="34"/>
    </w:rPr>
  </w:style>
  <w:style w:type="paragraph" w:styleId="Heading3">
    <w:name w:val="Heading 3"/>
    <w:basedOn w:val="Normal"/>
    <w:next w:val="Normal"/>
    <w:link w:val="Heading3Char"/>
    <w:qFormat/>
    <w:pPr>
      <w:keepNext w:val="true"/>
      <w:keepLines/>
      <w:numPr>
        <w:ilvl w:val="0"/>
        <w:numId w:val="0"/>
      </w:numPr>
      <w:spacing w:before="320" w:after="200"/>
      <w:outlineLvl w:val="2"/>
    </w:pPr>
    <w:rPr>
      <w:rFonts w:ascii="Arial" w:hAnsi="Arial" w:eastAsia="Arial" w:cs="Arial"/>
      <w:sz w:val="30"/>
      <w:szCs w:val="30"/>
    </w:rPr>
  </w:style>
  <w:style w:type="paragraph" w:styleId="Heading4">
    <w:name w:val="Heading 4"/>
    <w:basedOn w:val="Normal"/>
    <w:next w:val="Normal"/>
    <w:link w:val="Heading4Char"/>
    <w:qFormat/>
    <w:pPr>
      <w:keepNext w:val="true"/>
      <w:keepLines/>
      <w:numPr>
        <w:ilvl w:val="0"/>
        <w:numId w:val="0"/>
      </w:numPr>
      <w:spacing w:before="320" w:after="200"/>
      <w:outlineLvl w:val="3"/>
    </w:pPr>
    <w:rPr>
      <w:rFonts w:ascii="Arial" w:hAnsi="Arial" w:eastAsia="Arial" w:cs="Arial"/>
      <w:b/>
      <w:bCs/>
      <w:sz w:val="26"/>
      <w:szCs w:val="26"/>
    </w:rPr>
  </w:style>
  <w:style w:type="paragraph" w:styleId="Heading5">
    <w:name w:val="Heading 5"/>
    <w:basedOn w:val="Normal"/>
    <w:next w:val="Normal"/>
    <w:link w:val="Heading5Char"/>
    <w:qFormat/>
    <w:pPr>
      <w:keepNext w:val="true"/>
      <w:keepLines/>
      <w:numPr>
        <w:ilvl w:val="0"/>
        <w:numId w:val="0"/>
      </w:numPr>
      <w:spacing w:before="320" w:after="200"/>
      <w:outlineLvl w:val="4"/>
    </w:pPr>
    <w:rPr>
      <w:rFonts w:ascii="Arial" w:hAnsi="Arial" w:eastAsia="Arial" w:cs="Arial"/>
      <w:b/>
      <w:bCs/>
      <w:sz w:val="24"/>
      <w:szCs w:val="24"/>
    </w:rPr>
  </w:style>
  <w:style w:type="paragraph" w:styleId="Heading6">
    <w:name w:val="Heading 6"/>
    <w:basedOn w:val="Normal"/>
    <w:next w:val="Normal"/>
    <w:link w:val="Heading6Char"/>
    <w:qFormat/>
    <w:pPr>
      <w:keepNext w:val="true"/>
      <w:keepLines/>
      <w:numPr>
        <w:ilvl w:val="0"/>
        <w:numId w:val="0"/>
      </w:numPr>
      <w:spacing w:before="320" w:after="200"/>
      <w:outlineLvl w:val="5"/>
    </w:pPr>
    <w:rPr>
      <w:rFonts w:ascii="Arial" w:hAnsi="Arial" w:eastAsia="Arial" w:cs="Arial"/>
      <w:b/>
      <w:bCs/>
      <w:sz w:val="22"/>
      <w:szCs w:val="22"/>
    </w:rPr>
  </w:style>
  <w:style w:type="paragraph" w:styleId="Heading7">
    <w:name w:val="Heading 7"/>
    <w:basedOn w:val="Normal"/>
    <w:next w:val="Normal"/>
    <w:link w:val="Heading7Char"/>
    <w:qFormat/>
    <w:pPr>
      <w:keepNext w:val="true"/>
      <w:keepLines/>
      <w:numPr>
        <w:ilvl w:val="0"/>
        <w:numId w:val="0"/>
      </w:numPr>
      <w:spacing w:before="320" w:after="200"/>
      <w:outlineLvl w:val="6"/>
    </w:pPr>
    <w:rPr>
      <w:rFonts w:ascii="Arial" w:hAnsi="Arial" w:eastAsia="Arial" w:cs="Arial"/>
      <w:b/>
      <w:bCs/>
      <w:i/>
      <w:iCs/>
      <w:sz w:val="22"/>
      <w:szCs w:val="22"/>
    </w:rPr>
  </w:style>
  <w:style w:type="paragraph" w:styleId="Heading8">
    <w:name w:val="Heading 8"/>
    <w:basedOn w:val="Normal"/>
    <w:next w:val="Normal"/>
    <w:link w:val="Heading8Char"/>
    <w:qFormat/>
    <w:pPr>
      <w:keepNext w:val="true"/>
      <w:keepLines/>
      <w:numPr>
        <w:ilvl w:val="0"/>
        <w:numId w:val="0"/>
      </w:numPr>
      <w:spacing w:before="320" w:after="200"/>
      <w:outlineLvl w:val="7"/>
    </w:pPr>
    <w:rPr>
      <w:rFonts w:ascii="Arial" w:hAnsi="Arial" w:eastAsia="Arial" w:cs="Arial"/>
      <w:i/>
      <w:iCs/>
      <w:sz w:val="22"/>
      <w:szCs w:val="22"/>
    </w:rPr>
  </w:style>
  <w:style w:type="paragraph" w:styleId="Heading9">
    <w:name w:val="Heading 9"/>
    <w:basedOn w:val="Normal"/>
    <w:next w:val="Normal"/>
    <w:link w:val="Heading9Char"/>
    <w:qFormat/>
    <w:pPr>
      <w:keepNext w:val="true"/>
      <w:keepLines/>
      <w:numPr>
        <w:ilvl w:val="0"/>
        <w:numId w:val="0"/>
      </w:numPr>
      <w:spacing w:before="320" w:after="200"/>
      <w:outlineLvl w:val="8"/>
    </w:pPr>
    <w:rPr>
      <w:rFonts w:ascii="Arial" w:hAnsi="Arial" w:eastAsia="Arial" w:cs="Arial"/>
      <w:i/>
      <w:iCs/>
      <w:sz w:val="21"/>
      <w:szCs w:val="21"/>
    </w:rPr>
  </w:style>
  <w:style w:type="character" w:styleId="DefaultParagraphFont">
    <w:name w:val="Default Paragraph Font"/>
    <w:qFormat/>
    <w:rPr/>
  </w:style>
  <w:style w:type="character" w:styleId="DStyletext">
    <w:name w:val="DStyle_text"/>
    <w:qFormat/>
    <w:rPr/>
  </w:style>
  <w:style w:type="character" w:styleId="Heading1Char">
    <w:name w:val="Heading 1 Char"/>
    <w:qFormat/>
    <w:rPr>
      <w:rFonts w:ascii="Arial" w:hAnsi="Arial" w:cs="Arial"/>
      <w:sz w:val="40"/>
    </w:rPr>
  </w:style>
  <w:style w:type="character" w:styleId="Heading2Char">
    <w:name w:val="Heading 2 Char"/>
    <w:qFormat/>
    <w:rPr>
      <w:rFonts w:ascii="Arial" w:hAnsi="Arial" w:cs="Arial"/>
      <w:sz w:val="34"/>
    </w:rPr>
  </w:style>
  <w:style w:type="character" w:styleId="Heading3Char">
    <w:name w:val="Heading 3 Char"/>
    <w:qFormat/>
    <w:rPr>
      <w:rFonts w:ascii="Arial" w:hAnsi="Arial" w:cs="Arial"/>
      <w:sz w:val="30"/>
    </w:rPr>
  </w:style>
  <w:style w:type="character" w:styleId="Heading4Char">
    <w:name w:val="Heading 4 Char"/>
    <w:qFormat/>
    <w:rPr>
      <w:rFonts w:ascii="Arial" w:hAnsi="Arial" w:cs="Arial"/>
      <w:b/>
      <w:sz w:val="26"/>
    </w:rPr>
  </w:style>
  <w:style w:type="character" w:styleId="Heading5Char">
    <w:name w:val="Heading 5 Char"/>
    <w:qFormat/>
    <w:rPr>
      <w:rFonts w:ascii="Arial" w:hAnsi="Arial" w:cs="Arial"/>
      <w:b/>
      <w:sz w:val="24"/>
    </w:rPr>
  </w:style>
  <w:style w:type="character" w:styleId="Heading6Char">
    <w:name w:val="Heading 6 Char"/>
    <w:qFormat/>
    <w:rPr>
      <w:rFonts w:ascii="Arial" w:hAnsi="Arial" w:cs="Arial"/>
      <w:b/>
      <w:sz w:val="22"/>
    </w:rPr>
  </w:style>
  <w:style w:type="character" w:styleId="Heading7Char">
    <w:name w:val="Heading 7 Char"/>
    <w:qFormat/>
    <w:rPr>
      <w:rFonts w:ascii="Arial" w:hAnsi="Arial" w:cs="Arial"/>
      <w:b/>
      <w:i/>
      <w:sz w:val="22"/>
    </w:rPr>
  </w:style>
  <w:style w:type="character" w:styleId="Heading8Char">
    <w:name w:val="Heading 8 Char"/>
    <w:qFormat/>
    <w:rPr>
      <w:rFonts w:ascii="Arial" w:hAnsi="Arial" w:cs="Arial"/>
      <w:i/>
      <w:sz w:val="22"/>
    </w:rPr>
  </w:style>
  <w:style w:type="character" w:styleId="Heading9Char">
    <w:name w:val="Heading 9 Char"/>
    <w:qFormat/>
    <w:rPr>
      <w:rFonts w:ascii="Arial" w:hAnsi="Arial" w:cs="Arial"/>
      <w:i/>
      <w:sz w:val="21"/>
    </w:rPr>
  </w:style>
  <w:style w:type="character" w:styleId="TitleChar">
    <w:name w:val="Title Char"/>
    <w:qFormat/>
    <w:rPr>
      <w:sz w:val="48"/>
    </w:rPr>
  </w:style>
  <w:style w:type="character" w:styleId="SubtitleChar">
    <w:name w:val="Subtitle Char"/>
    <w:qFormat/>
    <w:rPr>
      <w:sz w:val="24"/>
    </w:rPr>
  </w:style>
  <w:style w:type="character" w:styleId="QuoteChar">
    <w:name w:val="Quote Char"/>
    <w:qFormat/>
    <w:rPr>
      <w:i/>
    </w:rPr>
  </w:style>
  <w:style w:type="character" w:styleId="IntenseQuoteChar">
    <w:name w:val="Intense Quote Char"/>
    <w:qFormat/>
    <w:rPr>
      <w:i/>
    </w:rPr>
  </w:style>
  <w:style w:type="character" w:styleId="HeaderChar">
    <w:name w:val="Header Char"/>
    <w:qFormat/>
    <w:rPr/>
  </w:style>
  <w:style w:type="character" w:styleId="FooterChar">
    <w:name w:val="Footer Char"/>
    <w:qFormat/>
    <w:rPr/>
  </w:style>
  <w:style w:type="character" w:styleId="CaptionChar">
    <w:name w:val="Caption Char"/>
    <w:qFormat/>
    <w:rPr>
      <w:b/>
      <w:color w:val="4F81BD"/>
      <w:sz w:val="18"/>
    </w:rPr>
  </w:style>
  <w:style w:type="character" w:styleId="1">
    <w:name w:val="Гиперссылка1"/>
    <w:qFormat/>
    <w:rPr>
      <w:color w:val="0000FF"/>
      <w:u w:val="single"/>
    </w:rPr>
  </w:style>
  <w:style w:type="character" w:styleId="FootnoteTextChar">
    <w:name w:val="Footnote Text Char"/>
    <w:qFormat/>
    <w:rPr>
      <w:sz w:val="18"/>
    </w:rPr>
  </w:style>
  <w:style w:type="character" w:styleId="EndnoteTextChar">
    <w:name w:val="Endnote Text Char"/>
    <w:qFormat/>
    <w:rPr>
      <w:sz w:val="20"/>
    </w:rPr>
  </w:style>
  <w:style w:type="character" w:styleId="Style">
    <w:name w:val="Символ концевой сноски"/>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Style1">
    <w:name w:val="Символ сноски"/>
    <w:qFormat/>
    <w:rPr>
      <w:vertAlign w:val="superscript"/>
    </w:rPr>
  </w:style>
  <w:style w:type="character" w:styleId="11">
    <w:name w:val="Основной текст с отступом Знак1"/>
    <w:qFormat/>
    <w:rPr>
      <w:vertAlign w:val="superscript"/>
    </w:rPr>
  </w:style>
  <w:style w:type="character" w:styleId="FootnoteCharacters">
    <w:name w:val="Footnote Characters"/>
    <w:qFormat/>
    <w:rPr>
      <w:vertAlign w:val="superscript"/>
    </w:rPr>
  </w:style>
  <w:style w:type="character" w:styleId="3">
    <w:name w:val="Заголовок 3 Знак"/>
    <w:qFormat/>
    <w:rPr>
      <w:b/>
      <w:sz w:val="28"/>
    </w:rPr>
  </w:style>
  <w:style w:type="character" w:styleId="31">
    <w:name w:val="3. Подпункт Знак"/>
    <w:qFormat/>
    <w:rPr>
      <w:b/>
      <w:sz w:val="24"/>
    </w:rPr>
  </w:style>
  <w:style w:type="character" w:styleId="Style2">
    <w:name w:val="Текст выноски Знак"/>
    <w:qFormat/>
    <w:rPr>
      <w:rFonts w:ascii="Tahoma" w:hAnsi="Tahoma" w:cs="Tahoma"/>
      <w:sz w:val="16"/>
    </w:rPr>
  </w:style>
  <w:style w:type="character" w:styleId="12">
    <w:name w:val="1. Статья Знак"/>
    <w:qFormat/>
    <w:rPr>
      <w:b w:val="false"/>
      <w:sz w:val="24"/>
    </w:rPr>
  </w:style>
  <w:style w:type="character" w:styleId="4">
    <w:name w:val="4. Отчерк Знак"/>
    <w:qFormat/>
    <w:rPr>
      <w:sz w:val="24"/>
    </w:rPr>
  </w:style>
  <w:style w:type="character" w:styleId="13">
    <w:name w:val="Знак примечания1"/>
    <w:qFormat/>
    <w:rPr>
      <w:sz w:val="16"/>
    </w:rPr>
  </w:style>
  <w:style w:type="character" w:styleId="Style3">
    <w:name w:val="Текст примечания Знак"/>
    <w:qFormat/>
    <w:rPr/>
  </w:style>
  <w:style w:type="character" w:styleId="Style4">
    <w:name w:val="Тема примечания Знак"/>
    <w:qFormat/>
    <w:rPr>
      <w:b/>
    </w:rPr>
  </w:style>
  <w:style w:type="character" w:styleId="Style5">
    <w:name w:val="Нижний колонтитул Знак"/>
    <w:qFormat/>
    <w:rPr>
      <w:sz w:val="28"/>
    </w:rPr>
  </w:style>
  <w:style w:type="character" w:styleId="32">
    <w:name w:val="Основной текст 3 Знак"/>
    <w:qFormat/>
    <w:rPr>
      <w:color w:val="0000FF"/>
      <w:sz w:val="24"/>
    </w:rPr>
  </w:style>
  <w:style w:type="character" w:styleId="Style6">
    <w:name w:val="Заголовок Знак"/>
    <w:qFormat/>
    <w:rPr>
      <w:sz w:val="22"/>
      <w:shd w:fill="FFFFFF" w:val="clear"/>
    </w:rPr>
  </w:style>
  <w:style w:type="character" w:styleId="14">
    <w:name w:val="Заголовок 1 Знак"/>
    <w:qFormat/>
    <w:rPr>
      <w:rFonts w:ascii="Cambria" w:hAnsi="Cambria" w:cs="Cambria"/>
      <w:b/>
      <w:sz w:val="32"/>
    </w:rPr>
  </w:style>
  <w:style w:type="character" w:styleId="2">
    <w:name w:val="Заголовок 2 Знак"/>
    <w:qFormat/>
    <w:rPr>
      <w:rFonts w:ascii="Cambria" w:hAnsi="Cambria" w:cs="Cambria"/>
      <w:b/>
      <w:i/>
      <w:sz w:val="28"/>
    </w:rPr>
  </w:style>
  <w:style w:type="character" w:styleId="Style7">
    <w:name w:val="Основной текст с отступом Знак"/>
    <w:qFormat/>
    <w:rPr>
      <w:sz w:val="28"/>
    </w:rPr>
  </w:style>
  <w:style w:type="character" w:styleId="FontStyle16">
    <w:name w:val="Font Style16"/>
    <w:qFormat/>
    <w:rPr>
      <w:rFonts w:ascii="Times New Roman" w:hAnsi="Times New Roman" w:cs="Times New Roman"/>
      <w:sz w:val="24"/>
    </w:rPr>
  </w:style>
  <w:style w:type="character" w:styleId="15">
    <w:name w:val="Основной текст Знак1"/>
    <w:qFormat/>
    <w:rPr/>
  </w:style>
  <w:style w:type="character" w:styleId="Style8">
    <w:name w:val="Текст концевой сноски Знак"/>
    <w:qFormat/>
    <w:rPr/>
  </w:style>
  <w:style w:type="character" w:styleId="Style9">
    <w:name w:val="Абзац списка Знак"/>
    <w:qFormat/>
    <w:rPr>
      <w:sz w:val="24"/>
    </w:rPr>
  </w:style>
  <w:style w:type="character" w:styleId="Style10">
    <w:name w:val="Маркеры"/>
    <w:qFormat/>
    <w:rPr>
      <w:rFonts w:ascii="OpenSymbol" w:hAnsi="OpenSymbol" w:cs="OpenSymbol"/>
    </w:rPr>
  </w:style>
  <w:style w:type="character" w:styleId="Style11">
    <w:name w:val="Основной текст Знак"/>
    <w:basedOn w:val="DefaultParagraphFont"/>
    <w:qFormat/>
    <w:rPr>
      <w:color w:val="00000A"/>
      <w:sz w:val="28"/>
    </w:rPr>
  </w:style>
  <w:style w:type="character" w:styleId="Style12">
    <w:name w:val="Символ нумерации"/>
    <w:qFormat/>
    <w:rPr/>
  </w:style>
  <w:style w:type="character" w:styleId="FootnoteReference">
    <w:name w:val="Footnote Reference"/>
    <w:rPr>
      <w:vertAlign w:val="superscript"/>
    </w:rPr>
  </w:style>
  <w:style w:type="character" w:styleId="16">
    <w:name w:val="Просмотренная гиперссылка1"/>
    <w:qFormat/>
    <w:rPr>
      <w:color w:val="800000"/>
      <w:u w:val="single"/>
    </w:rPr>
  </w:style>
  <w:style w:type="character" w:styleId="T1">
    <w:name w:val="T1"/>
    <w:qFormat/>
    <w:rPr>
      <w:rFonts w:ascii="Symbol" w:hAnsi="Symbol" w:cs="Symbol"/>
    </w:rPr>
  </w:style>
  <w:style w:type="character" w:styleId="T2">
    <w:name w:val="T2"/>
    <w:qFormat/>
    <w:rPr>
      <w:rFonts w:ascii="'Courier New'" w:hAnsi="'Courier New'" w:cs="'Courier New'"/>
    </w:rPr>
  </w:style>
  <w:style w:type="character" w:styleId="T3">
    <w:name w:val="T3"/>
    <w:qFormat/>
    <w:rPr>
      <w:rFonts w:ascii="Wingdings" w:hAnsi="Wingdings" w:cs="Wingdings"/>
    </w:rPr>
  </w:style>
  <w:style w:type="character" w:styleId="T4">
    <w:name w:val="T4"/>
    <w:qFormat/>
    <w:rPr>
      <w:rFonts w:ascii="Symbol" w:hAnsi="Symbol" w:cs="Symbol"/>
    </w:rPr>
  </w:style>
  <w:style w:type="character" w:styleId="T5">
    <w:name w:val="T5"/>
    <w:qFormat/>
    <w:rPr>
      <w:rFonts w:ascii="'Courier New'" w:hAnsi="'Courier New'" w:cs="'Courier New'"/>
    </w:rPr>
  </w:style>
  <w:style w:type="character" w:styleId="T6">
    <w:name w:val="T6"/>
    <w:qFormat/>
    <w:rPr>
      <w:rFonts w:ascii="Wingdings" w:hAnsi="Wingdings" w:cs="Wingdings"/>
    </w:rPr>
  </w:style>
  <w:style w:type="character" w:styleId="T7">
    <w:name w:val="T7"/>
    <w:qFormat/>
    <w:rPr>
      <w:rFonts w:ascii="Symbol" w:hAnsi="Symbol" w:cs="Symbol"/>
    </w:rPr>
  </w:style>
  <w:style w:type="character" w:styleId="T8">
    <w:name w:val="T8"/>
    <w:qFormat/>
    <w:rPr>
      <w:rFonts w:ascii="'Courier New'" w:hAnsi="'Courier New'" w:cs="'Courier New'"/>
    </w:rPr>
  </w:style>
  <w:style w:type="character" w:styleId="T9">
    <w:name w:val="T9"/>
    <w:qFormat/>
    <w:rPr>
      <w:rFonts w:ascii="Wingdings" w:hAnsi="Wingdings" w:cs="Wingdings"/>
    </w:rPr>
  </w:style>
  <w:style w:type="character" w:styleId="T10">
    <w:name w:val="T10"/>
    <w:qFormat/>
    <w:rPr>
      <w:rFonts w:ascii="Symbol" w:hAnsi="Symbol" w:cs="Symbol"/>
    </w:rPr>
  </w:style>
  <w:style w:type="character" w:styleId="T11">
    <w:name w:val="T11"/>
    <w:qFormat/>
    <w:rPr>
      <w:rFonts w:ascii="'Courier New'" w:hAnsi="'Courier New'" w:cs="'Courier New'"/>
    </w:rPr>
  </w:style>
  <w:style w:type="character" w:styleId="T12">
    <w:name w:val="T12"/>
    <w:qFormat/>
    <w:rPr>
      <w:rFonts w:ascii="Wingdings" w:hAnsi="Wingdings" w:cs="Wingdings"/>
    </w:rPr>
  </w:style>
  <w:style w:type="character" w:styleId="T13">
    <w:name w:val="T13"/>
    <w:qFormat/>
    <w:rPr>
      <w:rFonts w:ascii="Symbol" w:hAnsi="Symbol" w:cs="Symbol"/>
    </w:rPr>
  </w:style>
  <w:style w:type="character" w:styleId="T14">
    <w:name w:val="T14"/>
    <w:qFormat/>
    <w:rPr>
      <w:rFonts w:ascii="'Courier New'" w:hAnsi="'Courier New'" w:cs="'Courier New'"/>
    </w:rPr>
  </w:style>
  <w:style w:type="character" w:styleId="T15">
    <w:name w:val="T15"/>
    <w:qFormat/>
    <w:rPr>
      <w:rFonts w:ascii="Wingdings" w:hAnsi="Wingdings" w:cs="Wingdings"/>
    </w:rPr>
  </w:style>
  <w:style w:type="character" w:styleId="T16">
    <w:name w:val="T16"/>
    <w:qFormat/>
    <w:rPr>
      <w:rFonts w:ascii="Symbol" w:hAnsi="Symbol" w:cs="Symbol"/>
    </w:rPr>
  </w:style>
  <w:style w:type="character" w:styleId="T17">
    <w:name w:val="T17"/>
    <w:qFormat/>
    <w:rPr>
      <w:rFonts w:ascii="'Courier New'" w:hAnsi="'Courier New'" w:cs="'Courier New'"/>
    </w:rPr>
  </w:style>
  <w:style w:type="character" w:styleId="T18">
    <w:name w:val="T18"/>
    <w:qFormat/>
    <w:rPr>
      <w:rFonts w:ascii="Wingdings" w:hAnsi="Wingdings" w:cs="Wingdings"/>
    </w:rPr>
  </w:style>
  <w:style w:type="character" w:styleId="T19">
    <w:name w:val="T19"/>
    <w:qFormat/>
    <w:rPr>
      <w:rFonts w:ascii="Symbol" w:hAnsi="Symbol" w:cs="Symbol"/>
    </w:rPr>
  </w:style>
  <w:style w:type="character" w:styleId="T20">
    <w:name w:val="T20"/>
    <w:qFormat/>
    <w:rPr>
      <w:rFonts w:ascii="'Courier New'" w:hAnsi="'Courier New'" w:cs="'Courier New'"/>
    </w:rPr>
  </w:style>
  <w:style w:type="character" w:styleId="T21">
    <w:name w:val="T21"/>
    <w:qFormat/>
    <w:rPr>
      <w:rFonts w:ascii="Wingdings" w:hAnsi="Wingdings" w:cs="Wingdings"/>
    </w:rPr>
  </w:style>
  <w:style w:type="character" w:styleId="T22">
    <w:name w:val="T22"/>
    <w:qFormat/>
    <w:rPr>
      <w:rFonts w:ascii="Symbol" w:hAnsi="Symbol" w:cs="Symbol"/>
    </w:rPr>
  </w:style>
  <w:style w:type="character" w:styleId="T23">
    <w:name w:val="T23"/>
    <w:qFormat/>
    <w:rPr>
      <w:rFonts w:ascii="'Courier New'" w:hAnsi="'Courier New'" w:cs="'Courier New'"/>
    </w:rPr>
  </w:style>
  <w:style w:type="character" w:styleId="T24">
    <w:name w:val="T24"/>
    <w:qFormat/>
    <w:rPr>
      <w:rFonts w:ascii="Wingdings" w:hAnsi="Wingdings" w:cs="Wingdings"/>
    </w:rPr>
  </w:style>
  <w:style w:type="character" w:styleId="T25">
    <w:name w:val="T25"/>
    <w:qFormat/>
    <w:rPr>
      <w:rFonts w:ascii="Symbol" w:hAnsi="Symbol" w:cs="Symbol"/>
    </w:rPr>
  </w:style>
  <w:style w:type="character" w:styleId="T26">
    <w:name w:val="T26"/>
    <w:qFormat/>
    <w:rPr>
      <w:rFonts w:ascii="'Courier New'" w:hAnsi="'Courier New'" w:cs="'Courier New'"/>
    </w:rPr>
  </w:style>
  <w:style w:type="character" w:styleId="T27">
    <w:name w:val="T27"/>
    <w:qFormat/>
    <w:rPr>
      <w:rFonts w:ascii="Wingdings" w:hAnsi="Wingdings" w:cs="Wingdings"/>
    </w:rPr>
  </w:style>
  <w:style w:type="character" w:styleId="T28">
    <w:name w:val="T28"/>
    <w:qFormat/>
    <w:rPr>
      <w:rFonts w:ascii="Symbol" w:hAnsi="Symbol" w:cs="Symbol"/>
    </w:rPr>
  </w:style>
  <w:style w:type="character" w:styleId="T29">
    <w:name w:val="T29"/>
    <w:qFormat/>
    <w:rPr>
      <w:rFonts w:ascii="'Courier New'" w:hAnsi="'Courier New'" w:cs="'Courier New'"/>
    </w:rPr>
  </w:style>
  <w:style w:type="character" w:styleId="T30">
    <w:name w:val="T30"/>
    <w:qFormat/>
    <w:rPr>
      <w:rFonts w:ascii="Wingdings" w:hAnsi="Wingdings" w:cs="Wingdings"/>
    </w:rPr>
  </w:style>
  <w:style w:type="character" w:styleId="T31">
    <w:name w:val="T31"/>
    <w:qFormat/>
    <w:rPr>
      <w:rFonts w:ascii="Symbol" w:hAnsi="Symbol" w:cs="Symbol"/>
    </w:rPr>
  </w:style>
  <w:style w:type="character" w:styleId="T32">
    <w:name w:val="T32"/>
    <w:qFormat/>
    <w:rPr>
      <w:rFonts w:ascii="'Courier New'" w:hAnsi="'Courier New'" w:cs="'Courier New'"/>
    </w:rPr>
  </w:style>
  <w:style w:type="character" w:styleId="T33">
    <w:name w:val="T33"/>
    <w:qFormat/>
    <w:rPr>
      <w:rFonts w:ascii="Wingdings" w:hAnsi="Wingdings" w:cs="Wingdings"/>
    </w:rPr>
  </w:style>
  <w:style w:type="character" w:styleId="T34">
    <w:name w:val="T34"/>
    <w:qFormat/>
    <w:rPr>
      <w:rFonts w:ascii="Symbol" w:hAnsi="Symbol" w:cs="Symbol"/>
    </w:rPr>
  </w:style>
  <w:style w:type="character" w:styleId="T35">
    <w:name w:val="T35"/>
    <w:qFormat/>
    <w:rPr>
      <w:rFonts w:ascii="'Courier New'" w:hAnsi="'Courier New'" w:cs="'Courier New'"/>
    </w:rPr>
  </w:style>
  <w:style w:type="character" w:styleId="T36">
    <w:name w:val="T36"/>
    <w:qFormat/>
    <w:rPr>
      <w:rFonts w:ascii="Wingdings" w:hAnsi="Wingdings" w:cs="Wingdings"/>
    </w:rPr>
  </w:style>
  <w:style w:type="character" w:styleId="T37">
    <w:name w:val="T37"/>
    <w:qFormat/>
    <w:rPr>
      <w:rFonts w:ascii="Symbol" w:hAnsi="Symbol" w:cs="Symbol"/>
    </w:rPr>
  </w:style>
  <w:style w:type="character" w:styleId="T38">
    <w:name w:val="T38"/>
    <w:qFormat/>
    <w:rPr>
      <w:rFonts w:ascii="'Courier New'" w:hAnsi="'Courier New'" w:cs="'Courier New'"/>
    </w:rPr>
  </w:style>
  <w:style w:type="character" w:styleId="T39">
    <w:name w:val="T39"/>
    <w:qFormat/>
    <w:rPr>
      <w:rFonts w:ascii="Wingdings" w:hAnsi="Wingdings" w:cs="Wingdings"/>
    </w:rPr>
  </w:style>
  <w:style w:type="character" w:styleId="T40">
    <w:name w:val="T40"/>
    <w:qFormat/>
    <w:rPr>
      <w:rFonts w:ascii="Symbol" w:hAnsi="Symbol" w:cs="Symbol"/>
    </w:rPr>
  </w:style>
  <w:style w:type="character" w:styleId="T41">
    <w:name w:val="T41"/>
    <w:qFormat/>
    <w:rPr>
      <w:rFonts w:ascii="'Courier New'" w:hAnsi="'Courier New'" w:cs="'Courier New'"/>
    </w:rPr>
  </w:style>
  <w:style w:type="character" w:styleId="T42">
    <w:name w:val="T42"/>
    <w:qFormat/>
    <w:rPr>
      <w:rFonts w:ascii="Wingdings" w:hAnsi="Wingdings" w:cs="Wingdings"/>
    </w:rPr>
  </w:style>
  <w:style w:type="character" w:styleId="T43">
    <w:name w:val="T43"/>
    <w:qFormat/>
    <w:rPr>
      <w:rFonts w:ascii="Symbol" w:hAnsi="Symbol" w:cs="Symbol"/>
    </w:rPr>
  </w:style>
  <w:style w:type="character" w:styleId="T44">
    <w:name w:val="T44"/>
    <w:qFormat/>
    <w:rPr>
      <w:rFonts w:ascii="'Courier New'" w:hAnsi="'Courier New'" w:cs="'Courier New'"/>
    </w:rPr>
  </w:style>
  <w:style w:type="character" w:styleId="T45">
    <w:name w:val="T45"/>
    <w:qFormat/>
    <w:rPr>
      <w:rFonts w:ascii="Wingdings" w:hAnsi="Wingdings" w:cs="Wingdings"/>
    </w:rPr>
  </w:style>
  <w:style w:type="character" w:styleId="T46">
    <w:name w:val="T46"/>
    <w:qFormat/>
    <w:rPr>
      <w:rFonts w:ascii="Symbol" w:hAnsi="Symbol" w:cs="Symbol"/>
    </w:rPr>
  </w:style>
  <w:style w:type="character" w:styleId="T47">
    <w:name w:val="T47"/>
    <w:qFormat/>
    <w:rPr>
      <w:rFonts w:ascii="'Courier New'" w:hAnsi="'Courier New'" w:cs="'Courier New'"/>
    </w:rPr>
  </w:style>
  <w:style w:type="character" w:styleId="T48">
    <w:name w:val="T48"/>
    <w:qFormat/>
    <w:rPr>
      <w:rFonts w:ascii="Wingdings" w:hAnsi="Wingdings" w:cs="Wingdings"/>
    </w:rPr>
  </w:style>
  <w:style w:type="character" w:styleId="T49">
    <w:name w:val="T49"/>
    <w:qFormat/>
    <w:rPr>
      <w:rFonts w:ascii="Symbol" w:hAnsi="Symbol" w:cs="Symbol"/>
    </w:rPr>
  </w:style>
  <w:style w:type="character" w:styleId="T50">
    <w:name w:val="T50"/>
    <w:qFormat/>
    <w:rPr>
      <w:rFonts w:ascii="'Courier New'" w:hAnsi="'Courier New'" w:cs="'Courier New'"/>
    </w:rPr>
  </w:style>
  <w:style w:type="character" w:styleId="T51">
    <w:name w:val="T51"/>
    <w:qFormat/>
    <w:rPr>
      <w:rFonts w:ascii="Wingdings" w:hAnsi="Wingdings" w:cs="Wingdings"/>
    </w:rPr>
  </w:style>
  <w:style w:type="character" w:styleId="T52">
    <w:name w:val="T52"/>
    <w:qFormat/>
    <w:rPr>
      <w:rFonts w:ascii="Symbol" w:hAnsi="Symbol" w:cs="Symbol"/>
    </w:rPr>
  </w:style>
  <w:style w:type="character" w:styleId="T53">
    <w:name w:val="T53"/>
    <w:qFormat/>
    <w:rPr>
      <w:rFonts w:ascii="'Courier New'" w:hAnsi="'Courier New'" w:cs="'Courier New'"/>
    </w:rPr>
  </w:style>
  <w:style w:type="character" w:styleId="T54">
    <w:name w:val="T54"/>
    <w:qFormat/>
    <w:rPr>
      <w:rFonts w:ascii="Wingdings" w:hAnsi="Wingdings" w:cs="Wingdings"/>
    </w:rPr>
  </w:style>
  <w:style w:type="character" w:styleId="T55">
    <w:name w:val="T55"/>
    <w:qFormat/>
    <w:rPr>
      <w:rFonts w:ascii="Symbol" w:hAnsi="Symbol" w:cs="Symbol"/>
    </w:rPr>
  </w:style>
  <w:style w:type="character" w:styleId="T56">
    <w:name w:val="T56"/>
    <w:qFormat/>
    <w:rPr>
      <w:rFonts w:ascii="Symbol" w:hAnsi="Symbol" w:cs="Symbol"/>
    </w:rPr>
  </w:style>
  <w:style w:type="character" w:styleId="T57">
    <w:name w:val="T57"/>
    <w:qFormat/>
    <w:rPr>
      <w:rFonts w:ascii="'Courier New'" w:hAnsi="'Courier New'" w:cs="'Courier New'"/>
    </w:rPr>
  </w:style>
  <w:style w:type="character" w:styleId="T58">
    <w:name w:val="T58"/>
    <w:qFormat/>
    <w:rPr>
      <w:rFonts w:ascii="Wingdings" w:hAnsi="Wingdings" w:cs="Wingdings"/>
    </w:rPr>
  </w:style>
  <w:style w:type="character" w:styleId="T59">
    <w:name w:val="T59"/>
    <w:qFormat/>
    <w:rPr>
      <w:rFonts w:ascii="Symbol" w:hAnsi="Symbol" w:cs="Symbol"/>
    </w:rPr>
  </w:style>
  <w:style w:type="character" w:styleId="T60">
    <w:name w:val="T60"/>
    <w:qFormat/>
    <w:rPr>
      <w:rFonts w:ascii="'Courier New'" w:hAnsi="'Courier New'" w:cs="'Courier New'"/>
    </w:rPr>
  </w:style>
  <w:style w:type="character" w:styleId="T61">
    <w:name w:val="T61"/>
    <w:qFormat/>
    <w:rPr>
      <w:rFonts w:ascii="Wingdings" w:hAnsi="Wingdings" w:cs="Wingdings"/>
    </w:rPr>
  </w:style>
  <w:style w:type="character" w:styleId="T62">
    <w:name w:val="T62"/>
    <w:qFormat/>
    <w:rPr>
      <w:rFonts w:ascii="Symbol" w:hAnsi="Symbol" w:cs="Symbol"/>
    </w:rPr>
  </w:style>
  <w:style w:type="character" w:styleId="T63">
    <w:name w:val="T63"/>
    <w:qFormat/>
    <w:rPr>
      <w:rFonts w:ascii="'Courier New'" w:hAnsi="'Courier New'" w:cs="'Courier New'"/>
    </w:rPr>
  </w:style>
  <w:style w:type="character" w:styleId="T64">
    <w:name w:val="T64"/>
    <w:qFormat/>
    <w:rPr>
      <w:rFonts w:ascii="Wingdings" w:hAnsi="Wingdings" w:cs="Wingdings"/>
    </w:rPr>
  </w:style>
  <w:style w:type="character" w:styleId="T65">
    <w:name w:val="T65"/>
    <w:qFormat/>
    <w:rPr>
      <w:rFonts w:ascii="Symbol" w:hAnsi="Symbol" w:cs="Symbol"/>
    </w:rPr>
  </w:style>
  <w:style w:type="character" w:styleId="T66">
    <w:name w:val="T66"/>
    <w:qFormat/>
    <w:rPr>
      <w:rFonts w:ascii="'Courier New'" w:hAnsi="'Courier New'" w:cs="'Courier New'"/>
    </w:rPr>
  </w:style>
  <w:style w:type="character" w:styleId="T67">
    <w:name w:val="T67"/>
    <w:qFormat/>
    <w:rPr>
      <w:rFonts w:ascii="Wingdings" w:hAnsi="Wingdings" w:cs="Wingdings"/>
    </w:rPr>
  </w:style>
  <w:style w:type="character" w:styleId="T68">
    <w:name w:val="T68"/>
    <w:qFormat/>
    <w:rPr>
      <w:rFonts w:ascii="Symbol" w:hAnsi="Symbol" w:cs="Symbol"/>
    </w:rPr>
  </w:style>
  <w:style w:type="character" w:styleId="T69">
    <w:name w:val="T69"/>
    <w:qFormat/>
    <w:rPr>
      <w:rFonts w:ascii="'Courier New'" w:hAnsi="'Courier New'" w:cs="'Courier New'"/>
    </w:rPr>
  </w:style>
  <w:style w:type="character" w:styleId="T70">
    <w:name w:val="T70"/>
    <w:qFormat/>
    <w:rPr>
      <w:rFonts w:ascii="Wingdings" w:hAnsi="Wingdings" w:cs="Wingdings"/>
    </w:rPr>
  </w:style>
  <w:style w:type="character" w:styleId="T71">
    <w:name w:val="T71"/>
    <w:qFormat/>
    <w:rPr>
      <w:rFonts w:ascii="Symbol" w:hAnsi="Symbol" w:cs="Symbol"/>
    </w:rPr>
  </w:style>
  <w:style w:type="character" w:styleId="T72">
    <w:name w:val="T72"/>
    <w:qFormat/>
    <w:rPr>
      <w:rFonts w:ascii="'Courier New'" w:hAnsi="'Courier New'" w:cs="'Courier New'"/>
    </w:rPr>
  </w:style>
  <w:style w:type="character" w:styleId="T73">
    <w:name w:val="T73"/>
    <w:qFormat/>
    <w:rPr>
      <w:rFonts w:ascii="Wingdings" w:hAnsi="Wingdings" w:cs="Wingdings"/>
    </w:rPr>
  </w:style>
  <w:style w:type="character" w:styleId="T74">
    <w:name w:val="T74"/>
    <w:qFormat/>
    <w:rPr>
      <w:rFonts w:ascii="Symbol" w:hAnsi="Symbol" w:cs="Symbol"/>
    </w:rPr>
  </w:style>
  <w:style w:type="character" w:styleId="T75">
    <w:name w:val="T75"/>
    <w:qFormat/>
    <w:rPr>
      <w:rFonts w:ascii="'Courier New'" w:hAnsi="'Courier New'" w:cs="'Courier New'"/>
    </w:rPr>
  </w:style>
  <w:style w:type="character" w:styleId="T76">
    <w:name w:val="T76"/>
    <w:qFormat/>
    <w:rPr>
      <w:rFonts w:ascii="Wingdings" w:hAnsi="Wingdings" w:cs="Wingdings"/>
    </w:rPr>
  </w:style>
  <w:style w:type="character" w:styleId="T77">
    <w:name w:val="T77"/>
    <w:qFormat/>
    <w:rPr>
      <w:rFonts w:ascii="Symbol" w:hAnsi="Symbol" w:cs="Symbol"/>
    </w:rPr>
  </w:style>
  <w:style w:type="character" w:styleId="T78">
    <w:name w:val="T78"/>
    <w:qFormat/>
    <w:rPr>
      <w:rFonts w:ascii="'Courier New'" w:hAnsi="'Courier New'" w:cs="'Courier New'"/>
    </w:rPr>
  </w:style>
  <w:style w:type="character" w:styleId="T79">
    <w:name w:val="T79"/>
    <w:qFormat/>
    <w:rPr>
      <w:rFonts w:ascii="Wingdings" w:hAnsi="Wingdings" w:cs="Wingdings"/>
    </w:rPr>
  </w:style>
  <w:style w:type="character" w:styleId="T80">
    <w:name w:val="T80"/>
    <w:qFormat/>
    <w:rPr>
      <w:rFonts w:ascii="Symbol" w:hAnsi="Symbol" w:cs="Symbol"/>
    </w:rPr>
  </w:style>
  <w:style w:type="character" w:styleId="T81">
    <w:name w:val="T81"/>
    <w:qFormat/>
    <w:rPr>
      <w:rFonts w:ascii="'Courier New'" w:hAnsi="'Courier New'" w:cs="'Courier New'"/>
    </w:rPr>
  </w:style>
  <w:style w:type="character" w:styleId="T82">
    <w:name w:val="T82"/>
    <w:qFormat/>
    <w:rPr>
      <w:rFonts w:ascii="Wingdings" w:hAnsi="Wingdings" w:cs="Wingdings"/>
    </w:rPr>
  </w:style>
  <w:style w:type="character" w:styleId="T83">
    <w:name w:val="T83"/>
    <w:qFormat/>
    <w:rPr>
      <w:rFonts w:ascii="Symbol" w:hAnsi="Symbol" w:cs="Symbol"/>
    </w:rPr>
  </w:style>
  <w:style w:type="character" w:styleId="T84">
    <w:name w:val="T84"/>
    <w:qFormat/>
    <w:rPr>
      <w:rFonts w:ascii="OpenSymbol" w:hAnsi="OpenSymbol" w:cs="OpenSymbol"/>
    </w:rPr>
  </w:style>
  <w:style w:type="character" w:styleId="T85">
    <w:name w:val="T85"/>
    <w:qFormat/>
    <w:rPr>
      <w:rFonts w:ascii="OpenSymbol" w:hAnsi="OpenSymbol" w:cs="OpenSymbol"/>
    </w:rPr>
  </w:style>
  <w:style w:type="character" w:styleId="T86">
    <w:name w:val="T86"/>
    <w:qFormat/>
    <w:rPr>
      <w:rFonts w:ascii="Symbol" w:hAnsi="Symbol" w:cs="Symbol"/>
    </w:rPr>
  </w:style>
  <w:style w:type="character" w:styleId="T87">
    <w:name w:val="T87"/>
    <w:qFormat/>
    <w:rPr>
      <w:rFonts w:ascii="OpenSymbol" w:hAnsi="OpenSymbol" w:cs="OpenSymbol"/>
    </w:rPr>
  </w:style>
  <w:style w:type="character" w:styleId="T88">
    <w:name w:val="T88"/>
    <w:qFormat/>
    <w:rPr>
      <w:rFonts w:ascii="OpenSymbol" w:hAnsi="OpenSymbol" w:cs="OpenSymbol"/>
    </w:rPr>
  </w:style>
  <w:style w:type="character" w:styleId="T89">
    <w:name w:val="T89"/>
    <w:qFormat/>
    <w:rPr>
      <w:rFonts w:ascii="Symbol" w:hAnsi="Symbol" w:cs="Symbol"/>
    </w:rPr>
  </w:style>
  <w:style w:type="character" w:styleId="T90">
    <w:name w:val="T90"/>
    <w:qFormat/>
    <w:rPr>
      <w:rFonts w:ascii="OpenSymbol" w:hAnsi="OpenSymbol" w:cs="OpenSymbol"/>
    </w:rPr>
  </w:style>
  <w:style w:type="character" w:styleId="T91">
    <w:name w:val="T91"/>
    <w:qFormat/>
    <w:rPr>
      <w:rFonts w:ascii="OpenSymbol" w:hAnsi="OpenSymbol" w:cs="OpenSymbol"/>
    </w:rPr>
  </w:style>
  <w:style w:type="character" w:styleId="T92">
    <w:name w:val="T92"/>
    <w:qFormat/>
    <w:rPr>
      <w:rFonts w:ascii="Symbol" w:hAnsi="Symbol" w:cs="Symbol"/>
    </w:rPr>
  </w:style>
  <w:style w:type="character" w:styleId="T93">
    <w:name w:val="T93"/>
    <w:qFormat/>
    <w:rPr>
      <w:rFonts w:ascii="'Courier New'" w:hAnsi="'Courier New'" w:cs="'Courier New'"/>
    </w:rPr>
  </w:style>
  <w:style w:type="character" w:styleId="T94">
    <w:name w:val="T94"/>
    <w:qFormat/>
    <w:rPr>
      <w:rFonts w:ascii="Wingdings" w:hAnsi="Wingdings" w:cs="Wingdings"/>
    </w:rPr>
  </w:style>
  <w:style w:type="character" w:styleId="T95">
    <w:name w:val="T95"/>
    <w:qFormat/>
    <w:rPr>
      <w:rFonts w:ascii="Symbol" w:hAnsi="Symbol" w:cs="Symbol"/>
    </w:rPr>
  </w:style>
  <w:style w:type="character" w:styleId="T96">
    <w:name w:val="T96"/>
    <w:qFormat/>
    <w:rPr>
      <w:rFonts w:ascii="'Courier New'" w:hAnsi="'Courier New'" w:cs="'Courier New'"/>
    </w:rPr>
  </w:style>
  <w:style w:type="character" w:styleId="T97">
    <w:name w:val="T97"/>
    <w:qFormat/>
    <w:rPr>
      <w:rFonts w:ascii="Wingdings" w:hAnsi="Wingdings" w:cs="Wingdings"/>
    </w:rPr>
  </w:style>
  <w:style w:type="character" w:styleId="T98">
    <w:name w:val="T98"/>
    <w:qFormat/>
    <w:rPr>
      <w:rFonts w:ascii="Symbol" w:hAnsi="Symbol" w:cs="Symbol"/>
    </w:rPr>
  </w:style>
  <w:style w:type="character" w:styleId="T99">
    <w:name w:val="T99"/>
    <w:qFormat/>
    <w:rPr>
      <w:rFonts w:ascii="'Courier New'" w:hAnsi="'Courier New'" w:cs="'Courier New'"/>
    </w:rPr>
  </w:style>
  <w:style w:type="character" w:styleId="T100">
    <w:name w:val="T100"/>
    <w:qFormat/>
    <w:rPr>
      <w:rFonts w:ascii="Wingdings" w:hAnsi="Wingdings" w:cs="Wingdings"/>
    </w:rPr>
  </w:style>
  <w:style w:type="character" w:styleId="T101">
    <w:name w:val="T101"/>
    <w:qFormat/>
    <w:rPr>
      <w:rFonts w:ascii="StarSymbol" w:hAnsi="StarSymbol" w:cs="StarSymbol"/>
    </w:rPr>
  </w:style>
  <w:style w:type="character" w:styleId="T102">
    <w:name w:val="T102"/>
    <w:qFormat/>
    <w:rPr>
      <w:rFonts w:ascii="StarSymbol" w:hAnsi="StarSymbol" w:cs="StarSymbol"/>
    </w:rPr>
  </w:style>
  <w:style w:type="character" w:styleId="T103">
    <w:name w:val="T103"/>
    <w:qFormat/>
    <w:rPr>
      <w:rFonts w:ascii="StarSymbol" w:hAnsi="StarSymbol" w:cs="StarSymbol"/>
    </w:rPr>
  </w:style>
  <w:style w:type="character" w:styleId="T104">
    <w:name w:val="T104"/>
    <w:qFormat/>
    <w:rPr>
      <w:rFonts w:ascii="StarSymbol" w:hAnsi="StarSymbol" w:cs="StarSymbol"/>
    </w:rPr>
  </w:style>
  <w:style w:type="character" w:styleId="T105">
    <w:name w:val="T105"/>
    <w:qFormat/>
    <w:rPr>
      <w:rFonts w:ascii="StarSymbol" w:hAnsi="StarSymbol" w:cs="StarSymbol"/>
    </w:rPr>
  </w:style>
  <w:style w:type="character" w:styleId="T106">
    <w:name w:val="T106"/>
    <w:qFormat/>
    <w:rPr>
      <w:rFonts w:ascii="StarSymbol" w:hAnsi="StarSymbol" w:cs="StarSymbol"/>
    </w:rPr>
  </w:style>
  <w:style w:type="character" w:styleId="T107">
    <w:name w:val="T107"/>
    <w:qFormat/>
    <w:rPr>
      <w:rFonts w:ascii="StarSymbol" w:hAnsi="StarSymbol" w:cs="StarSymbol"/>
    </w:rPr>
  </w:style>
  <w:style w:type="character" w:styleId="T108">
    <w:name w:val="T108"/>
    <w:qFormat/>
    <w:rPr>
      <w:rFonts w:ascii="StarSymbol" w:hAnsi="StarSymbol" w:cs="StarSymbol"/>
    </w:rPr>
  </w:style>
  <w:style w:type="character" w:styleId="T109">
    <w:name w:val="T109"/>
    <w:qFormat/>
    <w:rPr>
      <w:rFonts w:ascii="StarSymbol" w:hAnsi="StarSymbol" w:cs="StarSymbol"/>
    </w:rPr>
  </w:style>
  <w:style w:type="character" w:styleId="Linenumber1">
    <w:name w:val="line number1"/>
    <w:qFormat/>
    <w:rPr/>
  </w:style>
  <w:style w:type="character" w:styleId="17">
    <w:name w:val="Текст примечания Знак1"/>
    <w:basedOn w:val="DefaultParagraphFont"/>
    <w:link w:val="Annotationtext"/>
    <w:qFormat/>
    <w:rPr>
      <w:rFonts w:cs="Mangal"/>
      <w:szCs w:val="18"/>
    </w:rPr>
  </w:style>
  <w:style w:type="character" w:styleId="Annotationreference">
    <w:name w:val="annotation reference"/>
    <w:basedOn w:val="DefaultParagraphFont"/>
    <w:qFormat/>
    <w:rPr>
      <w:sz w:val="16"/>
      <w:szCs w:val="16"/>
    </w:rPr>
  </w:style>
  <w:style w:type="character" w:styleId="Hyperlink">
    <w:name w:val="Hyperlink"/>
    <w:rPr>
      <w:color w:val="000080"/>
      <w:u w:val="single"/>
    </w:rPr>
  </w:style>
  <w:style w:type="character" w:styleId="Linenumber2">
    <w:name w:val="line number2"/>
    <w:qFormat/>
    <w:rPr/>
  </w:style>
  <w:style w:type="character" w:styleId="18">
    <w:name w:val="Текст выноски Знак1"/>
    <w:basedOn w:val="DefaultParagraphFont"/>
    <w:link w:val="BalloonText"/>
    <w:qFormat/>
    <w:rPr>
      <w:rFonts w:ascii="Segoe UI" w:hAnsi="Segoe UI" w:cs="Mangal"/>
      <w:color w:val="00000A"/>
      <w:sz w:val="18"/>
      <w:szCs w:val="16"/>
    </w:rPr>
  </w:style>
  <w:style w:type="character" w:styleId="LineNumber">
    <w:name w:val="Line Number"/>
    <w:rPr/>
  </w:style>
  <w:style w:type="paragraph" w:styleId="Style13">
    <w:name w:val="Заголовок"/>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4">
    <w:name w:val="Указатель"/>
    <w:basedOn w:val="Normal"/>
    <w:qFormat/>
    <w:pPr>
      <w:suppressLineNumbers/>
    </w:pPr>
    <w:rPr>
      <w:rFonts w:cs="Lohit Devanagari"/>
    </w:rPr>
  </w:style>
  <w:style w:type="paragraph" w:styleId="ListParagraph">
    <w:name w:val="List Paragraph"/>
    <w:basedOn w:val="Normal"/>
    <w:qFormat/>
    <w:pPr>
      <w:spacing w:before="0" w:after="0"/>
      <w:ind w:left="720" w:right="0" w:hanging="0"/>
      <w:contextualSpacing/>
    </w:pPr>
    <w:rPr/>
  </w:style>
  <w:style w:type="paragraph" w:styleId="NoSpacing">
    <w:name w:val="No Spacing"/>
    <w:qFormat/>
    <w:pPr>
      <w:widowControl/>
      <w:suppressAutoHyphens w:val="true"/>
      <w:overflowPunct w:val="false"/>
      <w:bidi w:val="0"/>
      <w:spacing w:lineRule="auto" w:line="240" w:before="0" w:after="0"/>
      <w:jc w:val="left"/>
    </w:pPr>
    <w:rPr>
      <w:rFonts w:ascii="Times New Roman" w:hAnsi="Times New Roman" w:eastAsia="Noto Serif CJK SC" w:cs="Lohit Devanagari"/>
      <w:color w:val="auto"/>
      <w:kern w:val="0"/>
      <w:sz w:val="20"/>
      <w:szCs w:val="20"/>
      <w:lang w:val="ru-RU" w:eastAsia="zh-CN" w:bidi="hi-IN"/>
    </w:rPr>
  </w:style>
  <w:style w:type="paragraph" w:styleId="Subtitle">
    <w:name w:val="Subtitle"/>
    <w:basedOn w:val="Normal"/>
    <w:next w:val="Normal"/>
    <w:link w:val="SubtitleChar"/>
    <w:qFormat/>
    <w:pPr>
      <w:spacing w:before="200" w:after="200"/>
    </w:pPr>
    <w:rPr>
      <w:sz w:val="24"/>
      <w:szCs w:val="24"/>
    </w:rPr>
  </w:style>
  <w:style w:type="paragraph" w:styleId="Quote">
    <w:name w:val="Quote"/>
    <w:basedOn w:val="Normal"/>
    <w:next w:val="Normal"/>
    <w:link w:val="QuoteChar"/>
    <w:qFormat/>
    <w:pPr>
      <w:ind w:left="720" w:right="720" w:hanging="0"/>
    </w:pPr>
    <w:rPr>
      <w:i/>
    </w:rPr>
  </w:style>
  <w:style w:type="paragraph" w:styleId="IntenseQuote">
    <w:name w:val="Intense Quote"/>
    <w:basedOn w:val="Normal"/>
    <w:next w:val="Normal"/>
    <w:link w:val="IntenseQuoteChar"/>
    <w:qFormat/>
    <w:pPr>
      <w:pBdr>
        <w:top w:val="single" w:sz="4" w:space="5" w:color="FFFFFF"/>
        <w:left w:val="single" w:sz="4" w:space="10" w:color="FFFFFF"/>
        <w:bottom w:val="single" w:sz="4" w:space="5" w:color="FFFFFF"/>
        <w:right w:val="single" w:sz="4" w:space="10" w:color="FFFFFF"/>
      </w:pBdr>
      <w:shd w:val="clear" w:fill="F2F2F2"/>
      <w:spacing w:before="0" w:after="0"/>
      <w:ind w:left="720" w:right="720" w:hanging="0"/>
    </w:pPr>
    <w:rPr>
      <w:i/>
    </w:rPr>
  </w:style>
  <w:style w:type="paragraph" w:styleId="Style15">
    <w:name w:val="Колонтитул"/>
    <w:basedOn w:val="Standard"/>
    <w:qFormat/>
    <w:pPr/>
    <w:rPr/>
  </w:style>
  <w:style w:type="paragraph" w:styleId="Header">
    <w:name w:val="Header"/>
    <w:basedOn w:val="Normal"/>
    <w:link w:val="HeaderChar"/>
    <w:pPr>
      <w:tabs>
        <w:tab w:val="clear" w:pos="709"/>
        <w:tab w:val="center" w:pos="7143" w:leader="none"/>
        <w:tab w:val="right" w:pos="14287" w:leader="none"/>
      </w:tabs>
      <w:spacing w:lineRule="auto" w:line="240" w:before="0" w:after="0"/>
    </w:pPr>
    <w:rPr/>
  </w:style>
  <w:style w:type="paragraph" w:styleId="Footer">
    <w:name w:val="Footer"/>
    <w:basedOn w:val="Normal"/>
    <w:link w:val="FooterChar"/>
    <w:pPr>
      <w:tabs>
        <w:tab w:val="clear" w:pos="709"/>
        <w:tab w:val="center" w:pos="7143" w:leader="none"/>
        <w:tab w:val="right" w:pos="14287" w:leader="none"/>
      </w:tabs>
      <w:spacing w:lineRule="auto" w:line="240" w:before="0" w:after="0"/>
    </w:pPr>
    <w:rPr/>
  </w:style>
  <w:style w:type="paragraph" w:styleId="FootnoteText">
    <w:name w:val="Footnote Text"/>
    <w:basedOn w:val="Normal"/>
    <w:link w:val="FootnoteTextChar"/>
    <w:pPr>
      <w:spacing w:lineRule="auto" w:line="240" w:before="0" w:after="40"/>
    </w:pPr>
    <w:rPr>
      <w:sz w:val="18"/>
    </w:rPr>
  </w:style>
  <w:style w:type="paragraph" w:styleId="EndnoteText">
    <w:name w:val="Endnote Text"/>
    <w:basedOn w:val="Normal"/>
    <w:link w:val="EndnoteTextChar"/>
    <w:pPr>
      <w:spacing w:lineRule="auto" w:line="240" w:before="0" w:after="0"/>
    </w:pPr>
    <w:rPr>
      <w:sz w:val="20"/>
    </w:rPr>
  </w:style>
  <w:style w:type="paragraph" w:styleId="TOC1">
    <w:name w:val="TOC 1"/>
    <w:basedOn w:val="Normal"/>
    <w:next w:val="Normal"/>
    <w:pPr>
      <w:spacing w:before="0" w:after="57"/>
      <w:ind w:left="0" w:right="0" w:hanging="0"/>
    </w:pPr>
    <w:rPr/>
  </w:style>
  <w:style w:type="paragraph" w:styleId="TOC2">
    <w:name w:val="TOC 2"/>
    <w:basedOn w:val="Normal"/>
    <w:next w:val="Normal"/>
    <w:pPr>
      <w:spacing w:before="0" w:after="57"/>
      <w:ind w:left="283" w:right="0" w:hanging="0"/>
    </w:pPr>
    <w:rPr/>
  </w:style>
  <w:style w:type="paragraph" w:styleId="TOC3">
    <w:name w:val="TOC 3"/>
    <w:basedOn w:val="Normal"/>
    <w:next w:val="Normal"/>
    <w:pPr>
      <w:spacing w:before="0" w:after="57"/>
      <w:ind w:left="567" w:right="0" w:hanging="0"/>
    </w:pPr>
    <w:rPr/>
  </w:style>
  <w:style w:type="paragraph" w:styleId="TOC4">
    <w:name w:val="TOC 4"/>
    <w:basedOn w:val="Normal"/>
    <w:next w:val="Normal"/>
    <w:pPr>
      <w:spacing w:before="0" w:after="57"/>
      <w:ind w:left="850" w:right="0" w:hanging="0"/>
    </w:pPr>
    <w:rPr/>
  </w:style>
  <w:style w:type="paragraph" w:styleId="TOC5">
    <w:name w:val="TOC 5"/>
    <w:basedOn w:val="Normal"/>
    <w:next w:val="Normal"/>
    <w:pPr>
      <w:spacing w:before="0" w:after="57"/>
      <w:ind w:left="1134" w:right="0" w:hanging="0"/>
    </w:pPr>
    <w:rPr/>
  </w:style>
  <w:style w:type="paragraph" w:styleId="TOC6">
    <w:name w:val="TOC 6"/>
    <w:basedOn w:val="Normal"/>
    <w:next w:val="Normal"/>
    <w:pPr>
      <w:spacing w:before="0" w:after="57"/>
      <w:ind w:left="1417" w:right="0" w:hanging="0"/>
    </w:pPr>
    <w:rPr/>
  </w:style>
  <w:style w:type="paragraph" w:styleId="TOC7">
    <w:name w:val="TOC 7"/>
    <w:basedOn w:val="Normal"/>
    <w:next w:val="Normal"/>
    <w:pPr>
      <w:spacing w:before="0" w:after="57"/>
      <w:ind w:left="1701" w:right="0" w:hanging="0"/>
    </w:pPr>
    <w:rPr/>
  </w:style>
  <w:style w:type="paragraph" w:styleId="TOC8">
    <w:name w:val="TOC 8"/>
    <w:basedOn w:val="Normal"/>
    <w:next w:val="Normal"/>
    <w:pPr>
      <w:spacing w:before="0" w:after="57"/>
      <w:ind w:left="1984" w:right="0" w:hanging="0"/>
    </w:pPr>
    <w:rPr/>
  </w:style>
  <w:style w:type="paragraph" w:styleId="TOC9">
    <w:name w:val="TOC 9"/>
    <w:basedOn w:val="Normal"/>
    <w:next w:val="Normal"/>
    <w:pPr>
      <w:spacing w:before="0" w:after="57"/>
      <w:ind w:left="2268" w:right="0" w:hanging="0"/>
    </w:pPr>
    <w:rPr/>
  </w:style>
  <w:style w:type="paragraph" w:styleId="IndexHeading">
    <w:name w:val="Index Heading"/>
    <w:basedOn w:val="Style13"/>
    <w:pPr/>
    <w:rPr/>
  </w:style>
  <w:style w:type="paragraph" w:styleId="TOCHeading">
    <w:name w:val="TOC Heading"/>
    <w:qFormat/>
    <w:pPr>
      <w:widowControl/>
      <w:suppressAutoHyphens w:val="true"/>
      <w:overflowPunct w:val="false"/>
      <w:bidi w:val="0"/>
      <w:spacing w:before="0" w:after="0"/>
      <w:jc w:val="left"/>
    </w:pPr>
    <w:rPr>
      <w:rFonts w:ascii="Times New Roman" w:hAnsi="Times New Roman" w:eastAsia="Noto Serif CJK SC" w:cs="Lohit Devanagari"/>
      <w:color w:val="auto"/>
      <w:kern w:val="0"/>
      <w:sz w:val="20"/>
      <w:szCs w:val="20"/>
      <w:lang w:val="ru-RU" w:eastAsia="zh-CN" w:bidi="hi-IN"/>
    </w:rPr>
  </w:style>
  <w:style w:type="paragraph" w:styleId="Tableoffigures">
    <w:name w:val="table of figures"/>
    <w:basedOn w:val="Normal"/>
    <w:next w:val="Normal"/>
    <w:qFormat/>
    <w:pPr>
      <w:spacing w:before="0" w:after="0"/>
    </w:pPr>
    <w:rPr/>
  </w:style>
  <w:style w:type="paragraph" w:styleId="Title">
    <w:name w:val="Title"/>
    <w:basedOn w:val="Normal"/>
    <w:next w:val="BodyText"/>
    <w:qFormat/>
    <w:pPr>
      <w:keepNext w:val="true"/>
      <w:spacing w:before="240" w:after="120"/>
    </w:pPr>
    <w:rPr>
      <w:rFonts w:ascii="Liberation Sans" w:hAnsi="Liberation Sans" w:eastAsia="Noto Sans CJK SC"/>
      <w:sz w:val="28"/>
      <w:szCs w:val="28"/>
    </w:rPr>
  </w:style>
  <w:style w:type="paragraph" w:styleId="Indexheading1">
    <w:name w:val="index heading1"/>
    <w:basedOn w:val="110"/>
    <w:qFormat/>
    <w:pPr/>
    <w:rPr/>
  </w:style>
  <w:style w:type="paragraph" w:styleId="19">
    <w:name w:val="Обычный1"/>
    <w:basedOn w:val="DStyleparagraph"/>
    <w:qFormat/>
    <w:pPr/>
    <w:rPr/>
  </w:style>
  <w:style w:type="paragraph" w:styleId="111">
    <w:name w:val="Заголовок 11"/>
    <w:qFormat/>
    <w:pPr>
      <w:widowControl w:val="false"/>
      <w:suppressAutoHyphens w:val="true"/>
      <w:overflowPunct w:val="false"/>
      <w:bidi w:val="0"/>
      <w:spacing w:before="240" w:after="60"/>
      <w:ind w:left="0" w:right="0" w:firstLine="567"/>
      <w:jc w:val="left"/>
    </w:pPr>
    <w:rPr>
      <w:rFonts w:ascii="Cambria" w:hAnsi="Cambria" w:eastAsia="Noto Serif CJK SC" w:cs="Cambria"/>
      <w:b/>
      <w:color w:val="auto"/>
      <w:kern w:val="0"/>
      <w:sz w:val="32"/>
      <w:szCs w:val="20"/>
      <w:lang w:val="ru-RU" w:eastAsia="zh-CN" w:bidi="hi-IN"/>
    </w:rPr>
  </w:style>
  <w:style w:type="paragraph" w:styleId="21">
    <w:name w:val="Заголовок 21"/>
    <w:qFormat/>
    <w:pPr>
      <w:widowControl w:val="false"/>
      <w:suppressAutoHyphens w:val="true"/>
      <w:overflowPunct w:val="false"/>
      <w:bidi w:val="0"/>
      <w:spacing w:before="240" w:after="60"/>
      <w:ind w:left="0" w:right="0" w:firstLine="567"/>
      <w:jc w:val="left"/>
    </w:pPr>
    <w:rPr>
      <w:rFonts w:ascii="Cambria" w:hAnsi="Cambria" w:eastAsia="Noto Serif CJK SC" w:cs="Cambria"/>
      <w:b/>
      <w:i/>
      <w:color w:val="auto"/>
      <w:kern w:val="0"/>
      <w:sz w:val="20"/>
      <w:szCs w:val="20"/>
      <w:lang w:val="ru-RU" w:eastAsia="zh-CN" w:bidi="hi-IN"/>
    </w:rPr>
  </w:style>
  <w:style w:type="paragraph" w:styleId="311">
    <w:name w:val="Заголовок 31"/>
    <w:qFormat/>
    <w:pPr>
      <w:widowControl w:val="false"/>
      <w:suppressAutoHyphens w:val="true"/>
      <w:overflowPunct w:val="false"/>
      <w:bidi w:val="0"/>
      <w:spacing w:before="120" w:after="120"/>
      <w:jc w:val="left"/>
    </w:pPr>
    <w:rPr>
      <w:rFonts w:ascii="Times New Roman" w:hAnsi="Times New Roman" w:eastAsia="Noto Serif CJK SC" w:cs="Lohit Devanagari"/>
      <w:b/>
      <w:color w:val="auto"/>
      <w:kern w:val="0"/>
      <w:sz w:val="20"/>
      <w:szCs w:val="20"/>
      <w:lang w:val="ru-RU" w:eastAsia="zh-CN" w:bidi="hi-IN"/>
    </w:rPr>
  </w:style>
  <w:style w:type="paragraph" w:styleId="41">
    <w:name w:val="Заголовок 41"/>
    <w:basedOn w:val="311"/>
    <w:qFormat/>
    <w:pPr/>
    <w:rPr/>
  </w:style>
  <w:style w:type="paragraph" w:styleId="51">
    <w:name w:val="Заголовок 51"/>
    <w:basedOn w:val="19"/>
    <w:qFormat/>
    <w:pPr>
      <w:spacing w:before="320" w:after="200"/>
    </w:pPr>
    <w:rPr>
      <w:rFonts w:ascii="Arial" w:hAnsi="Arial" w:cs="Arial"/>
      <w:b/>
      <w:sz w:val="24"/>
    </w:rPr>
  </w:style>
  <w:style w:type="paragraph" w:styleId="61">
    <w:name w:val="Заголовок 61"/>
    <w:basedOn w:val="19"/>
    <w:qFormat/>
    <w:pPr>
      <w:spacing w:before="320" w:after="200"/>
    </w:pPr>
    <w:rPr>
      <w:rFonts w:ascii="Arial" w:hAnsi="Arial" w:cs="Arial"/>
      <w:b/>
      <w:sz w:val="22"/>
    </w:rPr>
  </w:style>
  <w:style w:type="paragraph" w:styleId="71">
    <w:name w:val="Заголовок 71"/>
    <w:basedOn w:val="19"/>
    <w:qFormat/>
    <w:pPr>
      <w:spacing w:before="320" w:after="200"/>
    </w:pPr>
    <w:rPr>
      <w:rFonts w:ascii="Arial" w:hAnsi="Arial" w:cs="Arial"/>
      <w:b/>
      <w:i/>
      <w:sz w:val="22"/>
    </w:rPr>
  </w:style>
  <w:style w:type="paragraph" w:styleId="81">
    <w:name w:val="Заголовок 81"/>
    <w:basedOn w:val="19"/>
    <w:qFormat/>
    <w:pPr>
      <w:spacing w:before="320" w:after="200"/>
    </w:pPr>
    <w:rPr>
      <w:rFonts w:ascii="Arial" w:hAnsi="Arial" w:cs="Arial"/>
      <w:i/>
      <w:sz w:val="22"/>
    </w:rPr>
  </w:style>
  <w:style w:type="paragraph" w:styleId="91">
    <w:name w:val="Заголовок 91"/>
    <w:basedOn w:val="19"/>
    <w:qFormat/>
    <w:pPr>
      <w:spacing w:before="320" w:after="200"/>
    </w:pPr>
    <w:rPr>
      <w:rFonts w:ascii="Arial" w:hAnsi="Arial" w:cs="Arial"/>
      <w:i/>
      <w:sz w:val="21"/>
    </w:rPr>
  </w:style>
  <w:style w:type="paragraph" w:styleId="110">
    <w:name w:val="Заголовок1"/>
    <w:qFormat/>
    <w:pPr>
      <w:widowControl w:val="false"/>
      <w:suppressAutoHyphens w:val="true"/>
      <w:overflowPunct w:val="false"/>
      <w:bidi w:val="0"/>
      <w:spacing w:before="0" w:after="120"/>
      <w:jc w:val="center"/>
    </w:pPr>
    <w:rPr>
      <w:rFonts w:ascii="Times New Roman" w:hAnsi="Times New Roman" w:eastAsia="Noto Serif CJK SC" w:cs="Lohit Devanagari"/>
      <w:b/>
      <w:color w:val="auto"/>
      <w:kern w:val="0"/>
      <w:sz w:val="32"/>
      <w:szCs w:val="20"/>
      <w:lang w:val="ru-RU" w:eastAsia="zh-CN" w:bidi="hi-IN"/>
    </w:rPr>
  </w:style>
  <w:style w:type="paragraph" w:styleId="112">
    <w:name w:val="Основной текст1"/>
    <w:qFormat/>
    <w:pPr>
      <w:widowControl w:val="false"/>
      <w:shd w:val="clear" w:fill="FFFFFF"/>
      <w:suppressAutoHyphens w:val="true"/>
      <w:overflowPunct w:val="false"/>
      <w:bidi w:val="0"/>
      <w:spacing w:before="0" w:after="0"/>
      <w:ind w:left="0" w:right="0" w:firstLine="400"/>
      <w:jc w:val="left"/>
    </w:pPr>
    <w:rPr>
      <w:rFonts w:ascii="Times New Roman" w:hAnsi="Times New Roman" w:eastAsia="Noto Serif CJK SC" w:cs="Lohit Devanagari"/>
      <w:color w:val="auto"/>
      <w:kern w:val="0"/>
      <w:sz w:val="26"/>
      <w:szCs w:val="20"/>
      <w:lang w:val="ru-RU" w:eastAsia="zh-CN" w:bidi="hi-IN"/>
    </w:rPr>
  </w:style>
  <w:style w:type="paragraph" w:styleId="113">
    <w:name w:val="Список1"/>
    <w:qFormat/>
    <w:pPr>
      <w:widowControl w:val="false"/>
      <w:suppressAutoHyphens w:val="true"/>
      <w:overflowPunct w:val="false"/>
      <w:bidi w:val="0"/>
      <w:spacing w:before="0" w:after="0"/>
      <w:jc w:val="left"/>
    </w:pPr>
    <w:rPr>
      <w:rFonts w:ascii="Times New Roman" w:hAnsi="Times New Roman" w:eastAsia="Noto Serif CJK SC" w:cs="Lohit Devanagari"/>
      <w:color w:val="auto"/>
      <w:kern w:val="0"/>
      <w:sz w:val="20"/>
      <w:szCs w:val="20"/>
      <w:lang w:val="ru-RU" w:eastAsia="zh-CN" w:bidi="hi-IN"/>
    </w:rPr>
  </w:style>
  <w:style w:type="paragraph" w:styleId="114">
    <w:name w:val="Название объекта1"/>
    <w:qFormat/>
    <w:pPr>
      <w:widowControl w:val="false"/>
      <w:suppressAutoHyphens w:val="true"/>
      <w:overflowPunct w:val="false"/>
      <w:bidi w:val="0"/>
      <w:spacing w:before="120" w:after="120"/>
      <w:jc w:val="left"/>
    </w:pPr>
    <w:rPr>
      <w:rFonts w:ascii="Times New Roman" w:hAnsi="Times New Roman" w:eastAsia="Noto Serif CJK SC" w:cs="Lohit Devanagari"/>
      <w:i/>
      <w:color w:val="auto"/>
      <w:kern w:val="0"/>
      <w:sz w:val="24"/>
      <w:szCs w:val="20"/>
      <w:lang w:val="ru-RU" w:eastAsia="zh-CN" w:bidi="hi-IN"/>
    </w:rPr>
  </w:style>
  <w:style w:type="paragraph" w:styleId="115">
    <w:name w:val="Указатель1"/>
    <w:qFormat/>
    <w:pPr>
      <w:widowControl w:val="false"/>
      <w:suppressAutoHyphens w:val="true"/>
      <w:overflowPunct w:val="false"/>
      <w:bidi w:val="0"/>
      <w:spacing w:before="0" w:after="0"/>
      <w:jc w:val="left"/>
    </w:pPr>
    <w:rPr>
      <w:rFonts w:ascii="Times New Roman" w:hAnsi="Times New Roman" w:eastAsia="Noto Serif CJK SC" w:cs="Lohit Devanagari"/>
      <w:color w:val="auto"/>
      <w:kern w:val="0"/>
      <w:sz w:val="20"/>
      <w:szCs w:val="20"/>
      <w:lang w:val="ru-RU" w:eastAsia="zh-CN" w:bidi="hi-IN"/>
    </w:rPr>
  </w:style>
  <w:style w:type="paragraph" w:styleId="DStyleparagraph">
    <w:name w:val="DStyle_paragraph"/>
    <w:qFormat/>
    <w:pPr>
      <w:widowControl/>
      <w:suppressAutoHyphens w:val="true"/>
      <w:overflowPunct w:val="false"/>
      <w:bidi w:val="0"/>
      <w:spacing w:before="0" w:after="0"/>
      <w:jc w:val="left"/>
    </w:pPr>
    <w:rPr>
      <w:rFonts w:ascii="Times New Roman" w:hAnsi="Times New Roman" w:eastAsia="Noto Serif CJK SC" w:cs="Times New Roman"/>
      <w:color w:val="000000"/>
      <w:kern w:val="0"/>
      <w:sz w:val="20"/>
      <w:szCs w:val="20"/>
      <w:lang w:val="ru-RU" w:eastAsia="zh-CN" w:bidi="hi-IN"/>
    </w:rPr>
  </w:style>
  <w:style w:type="paragraph" w:styleId="116">
    <w:name w:val="Подзаголовок1"/>
    <w:basedOn w:val="19"/>
    <w:qFormat/>
    <w:pPr>
      <w:spacing w:before="200" w:after="200"/>
    </w:pPr>
    <w:rPr>
      <w:sz w:val="24"/>
    </w:rPr>
  </w:style>
  <w:style w:type="paragraph" w:styleId="211">
    <w:name w:val="Цитата 21"/>
    <w:basedOn w:val="19"/>
    <w:qFormat/>
    <w:pPr>
      <w:ind w:left="720" w:right="720" w:hanging="0"/>
    </w:pPr>
    <w:rPr>
      <w:i/>
    </w:rPr>
  </w:style>
  <w:style w:type="paragraph" w:styleId="117">
    <w:name w:val="Выделенная цитата1"/>
    <w:basedOn w:val="19"/>
    <w:qFormat/>
    <w:pPr>
      <w:pBdr>
        <w:top w:val="single" w:sz="4" w:space="0" w:color="FFFFFF"/>
        <w:left w:val="single" w:sz="4" w:space="0" w:color="FFFFFF"/>
        <w:bottom w:val="single" w:sz="4" w:space="0" w:color="FFFFFF"/>
        <w:right w:val="single" w:sz="4" w:space="0" w:color="FFFFFF"/>
      </w:pBdr>
      <w:shd w:val="clear" w:fill="F2F2F2"/>
      <w:ind w:left="720" w:right="720" w:hanging="0"/>
    </w:pPr>
    <w:rPr>
      <w:i/>
    </w:rPr>
  </w:style>
  <w:style w:type="paragraph" w:styleId="118">
    <w:name w:val="Текст концевой сноски1"/>
    <w:basedOn w:val="19"/>
    <w:qFormat/>
    <w:pPr/>
    <w:rPr/>
  </w:style>
  <w:style w:type="paragraph" w:styleId="119">
    <w:name w:val="Оглавление 11"/>
    <w:basedOn w:val="19"/>
    <w:qFormat/>
    <w:pPr>
      <w:spacing w:before="0" w:after="57"/>
    </w:pPr>
    <w:rPr/>
  </w:style>
  <w:style w:type="paragraph" w:styleId="212">
    <w:name w:val="Оглавление 21"/>
    <w:basedOn w:val="19"/>
    <w:qFormat/>
    <w:pPr>
      <w:spacing w:before="0" w:after="57"/>
      <w:ind w:left="283" w:right="0" w:hanging="0"/>
    </w:pPr>
    <w:rPr/>
  </w:style>
  <w:style w:type="paragraph" w:styleId="312">
    <w:name w:val="Оглавление 31"/>
    <w:basedOn w:val="19"/>
    <w:qFormat/>
    <w:pPr>
      <w:spacing w:before="0" w:after="57"/>
      <w:ind w:left="567" w:right="0" w:hanging="0"/>
    </w:pPr>
    <w:rPr/>
  </w:style>
  <w:style w:type="paragraph" w:styleId="411">
    <w:name w:val="Оглавление 41"/>
    <w:basedOn w:val="19"/>
    <w:qFormat/>
    <w:pPr>
      <w:spacing w:before="0" w:after="57"/>
      <w:ind w:left="850" w:right="0" w:hanging="0"/>
    </w:pPr>
    <w:rPr/>
  </w:style>
  <w:style w:type="paragraph" w:styleId="511">
    <w:name w:val="Оглавление 51"/>
    <w:basedOn w:val="19"/>
    <w:qFormat/>
    <w:pPr>
      <w:spacing w:before="0" w:after="57"/>
      <w:ind w:left="1134" w:right="0" w:hanging="0"/>
    </w:pPr>
    <w:rPr/>
  </w:style>
  <w:style w:type="paragraph" w:styleId="611">
    <w:name w:val="Оглавление 61"/>
    <w:basedOn w:val="19"/>
    <w:qFormat/>
    <w:pPr>
      <w:spacing w:before="0" w:after="57"/>
      <w:ind w:left="1417" w:right="0" w:hanging="0"/>
    </w:pPr>
    <w:rPr/>
  </w:style>
  <w:style w:type="paragraph" w:styleId="711">
    <w:name w:val="Оглавление 71"/>
    <w:basedOn w:val="19"/>
    <w:qFormat/>
    <w:pPr>
      <w:spacing w:before="0" w:after="57"/>
      <w:ind w:left="1701" w:right="0" w:hanging="0"/>
    </w:pPr>
    <w:rPr/>
  </w:style>
  <w:style w:type="paragraph" w:styleId="811">
    <w:name w:val="Оглавление 81"/>
    <w:basedOn w:val="19"/>
    <w:qFormat/>
    <w:pPr>
      <w:spacing w:before="0" w:after="57"/>
      <w:ind w:left="1984" w:right="0" w:hanging="0"/>
    </w:pPr>
    <w:rPr/>
  </w:style>
  <w:style w:type="paragraph" w:styleId="911">
    <w:name w:val="Оглавление 91"/>
    <w:basedOn w:val="19"/>
    <w:qFormat/>
    <w:pPr>
      <w:spacing w:before="0" w:after="57"/>
      <w:ind w:left="2268" w:right="0" w:hanging="0"/>
    </w:pPr>
    <w:rPr/>
  </w:style>
  <w:style w:type="paragraph" w:styleId="120">
    <w:name w:val="Заголовок оглавления1"/>
    <w:basedOn w:val="DStyleparagraph"/>
    <w:qFormat/>
    <w:pPr/>
    <w:rPr/>
  </w:style>
  <w:style w:type="paragraph" w:styleId="121">
    <w:name w:val="Перечень рисунков1"/>
    <w:basedOn w:val="19"/>
    <w:qFormat/>
    <w:pPr/>
    <w:rPr/>
  </w:style>
  <w:style w:type="paragraph" w:styleId="Standard">
    <w:name w:val="Standard"/>
    <w:basedOn w:val="DStyleparagraph"/>
    <w:qFormat/>
    <w:pPr>
      <w:spacing w:before="60" w:after="0"/>
    </w:pPr>
    <w:rPr>
      <w:color w:val="00000A"/>
      <w:sz w:val="22"/>
    </w:rPr>
  </w:style>
  <w:style w:type="paragraph" w:styleId="Textbody">
    <w:name w:val="Text body"/>
    <w:basedOn w:val="Standard"/>
    <w:qFormat/>
    <w:pPr>
      <w:spacing w:lineRule="auto" w:line="288" w:before="0" w:after="140"/>
    </w:pPr>
    <w:rPr/>
  </w:style>
  <w:style w:type="paragraph" w:styleId="22">
    <w:name w:val="Заголовок2"/>
    <w:basedOn w:val="Standard"/>
    <w:qFormat/>
    <w:pPr>
      <w:spacing w:before="240" w:after="120"/>
    </w:pPr>
    <w:rPr>
      <w:rFonts w:ascii="Liberation Sans" w:hAnsi="Liberation Sans" w:cs="Liberation Sans"/>
    </w:rPr>
  </w:style>
  <w:style w:type="paragraph" w:styleId="Indexheading11">
    <w:name w:val="index heading11"/>
    <w:basedOn w:val="Standard"/>
    <w:qFormat/>
    <w:pPr/>
    <w:rPr/>
  </w:style>
  <w:style w:type="paragraph" w:styleId="Caption1">
    <w:name w:val="caption1"/>
    <w:basedOn w:val="Standard"/>
    <w:qFormat/>
    <w:pPr>
      <w:spacing w:before="120" w:after="120"/>
    </w:pPr>
    <w:rPr>
      <w:i/>
      <w:sz w:val="24"/>
    </w:rPr>
  </w:style>
  <w:style w:type="paragraph" w:styleId="Caption11">
    <w:name w:val="caption11"/>
    <w:basedOn w:val="Standard"/>
    <w:qFormat/>
    <w:pPr>
      <w:spacing w:before="120" w:after="120"/>
    </w:pPr>
    <w:rPr>
      <w:i/>
      <w:sz w:val="24"/>
    </w:rPr>
  </w:style>
  <w:style w:type="paragraph" w:styleId="Caption111">
    <w:name w:val="caption111"/>
    <w:basedOn w:val="Standard"/>
    <w:qFormat/>
    <w:pPr>
      <w:spacing w:before="120" w:after="120"/>
    </w:pPr>
    <w:rPr>
      <w:i/>
      <w:sz w:val="24"/>
    </w:rPr>
  </w:style>
  <w:style w:type="paragraph" w:styleId="313">
    <w:name w:val="Основной текст 31"/>
    <w:basedOn w:val="Standard"/>
    <w:qFormat/>
    <w:pPr/>
    <w:rPr>
      <w:color w:val="0000FF"/>
      <w:sz w:val="24"/>
    </w:rPr>
  </w:style>
  <w:style w:type="paragraph" w:styleId="122">
    <w:name w:val="Верхний колонтитул1"/>
    <w:basedOn w:val="Standard"/>
    <w:qFormat/>
    <w:pPr>
      <w:tabs>
        <w:tab w:val="clear" w:pos="709"/>
        <w:tab w:val="center" w:pos="4675" w:leader="none"/>
        <w:tab w:val="right" w:pos="9353" w:leader="none"/>
      </w:tabs>
    </w:pPr>
    <w:rPr/>
  </w:style>
  <w:style w:type="paragraph" w:styleId="Style16">
    <w:name w:val="Style1"/>
    <w:basedOn w:val="Standard"/>
    <w:qFormat/>
    <w:pPr>
      <w:spacing w:before="240" w:after="0"/>
    </w:pPr>
    <w:rPr>
      <w:b/>
    </w:rPr>
  </w:style>
  <w:style w:type="paragraph" w:styleId="213">
    <w:name w:val="Основной текст 21"/>
    <w:basedOn w:val="Standard"/>
    <w:qFormat/>
    <w:pPr>
      <w:spacing w:lineRule="auto" w:line="480" w:before="0" w:after="120"/>
    </w:pPr>
    <w:rPr>
      <w:sz w:val="20"/>
    </w:rPr>
  </w:style>
  <w:style w:type="paragraph" w:styleId="Style17">
    <w:name w:val="Знак"/>
    <w:basedOn w:val="Standard"/>
    <w:qFormat/>
    <w:pPr>
      <w:spacing w:lineRule="exact" w:line="240" w:before="0" w:after="160"/>
    </w:pPr>
    <w:rPr>
      <w:rFonts w:ascii="Verdana" w:hAnsi="Verdana" w:cs="Verdana"/>
      <w:sz w:val="20"/>
      <w:lang w:val="en-US"/>
    </w:rPr>
  </w:style>
  <w:style w:type="paragraph" w:styleId="123">
    <w:name w:val="Текст сноски1"/>
    <w:basedOn w:val="Standard"/>
    <w:qFormat/>
    <w:pPr/>
    <w:rPr>
      <w:sz w:val="20"/>
    </w:rPr>
  </w:style>
  <w:style w:type="paragraph" w:styleId="Style18">
    <w:name w:val="Знак Знак Знак Знак Знак Знак Знак"/>
    <w:basedOn w:val="Standard"/>
    <w:qFormat/>
    <w:pPr>
      <w:spacing w:lineRule="exact" w:line="240" w:before="0" w:after="160"/>
    </w:pPr>
    <w:rPr>
      <w:rFonts w:ascii="Verdana" w:hAnsi="Verdana" w:cs="Verdana"/>
      <w:sz w:val="20"/>
      <w:lang w:val="en-US"/>
    </w:rPr>
  </w:style>
  <w:style w:type="paragraph" w:styleId="23">
    <w:name w:val="Знак2"/>
    <w:basedOn w:val="Standard"/>
    <w:qFormat/>
    <w:pPr>
      <w:spacing w:lineRule="exact" w:line="240" w:before="0" w:after="160"/>
    </w:pPr>
    <w:rPr>
      <w:rFonts w:ascii="Verdana" w:hAnsi="Verdana" w:cs="Verdana"/>
      <w:sz w:val="20"/>
      <w:lang w:val="en-US"/>
    </w:rPr>
  </w:style>
  <w:style w:type="paragraph" w:styleId="Style19">
    <w:name w:val="Знак Знак Знак Знак Знак Знак Знак Знак Знак"/>
    <w:basedOn w:val="Standard"/>
    <w:qFormat/>
    <w:pPr>
      <w:spacing w:lineRule="exact" w:line="240" w:before="0" w:after="160"/>
    </w:pPr>
    <w:rPr>
      <w:rFonts w:ascii="Verdana" w:hAnsi="Verdana" w:cs="Verdana"/>
      <w:lang w:val="en-US"/>
    </w:rPr>
  </w:style>
  <w:style w:type="paragraph" w:styleId="Style20">
    <w:name w:val="Пункт договора"/>
    <w:basedOn w:val="Standard"/>
    <w:qFormat/>
    <w:pPr/>
    <w:rPr>
      <w:rFonts w:ascii="Arial" w:hAnsi="Arial" w:cs="Arial"/>
      <w:sz w:val="20"/>
    </w:rPr>
  </w:style>
  <w:style w:type="paragraph" w:styleId="Style21">
    <w:name w:val="Подпункт договора"/>
    <w:basedOn w:val="Standard"/>
    <w:qFormat/>
    <w:pPr>
      <w:tabs>
        <w:tab w:val="clear" w:pos="709"/>
        <w:tab w:val="left" w:pos="566" w:leader="none"/>
      </w:tabs>
    </w:pPr>
    <w:rPr>
      <w:rFonts w:ascii="Arial" w:hAnsi="Arial" w:cs="Arial"/>
      <w:sz w:val="20"/>
    </w:rPr>
  </w:style>
  <w:style w:type="paragraph" w:styleId="314">
    <w:name w:val="Основной текст с отступом 31"/>
    <w:basedOn w:val="Standard"/>
    <w:qFormat/>
    <w:pPr>
      <w:spacing w:before="0" w:after="120"/>
      <w:ind w:left="283" w:right="0" w:firstLine="567"/>
    </w:pPr>
    <w:rPr>
      <w:sz w:val="16"/>
    </w:rPr>
  </w:style>
  <w:style w:type="paragraph" w:styleId="124">
    <w:name w:val="Абзац списка1"/>
    <w:basedOn w:val="Standard"/>
    <w:qFormat/>
    <w:pPr>
      <w:spacing w:before="0" w:after="0"/>
      <w:ind w:left="720" w:right="0" w:hanging="0"/>
    </w:pPr>
    <w:rPr>
      <w:sz w:val="24"/>
    </w:rPr>
  </w:style>
  <w:style w:type="paragraph" w:styleId="125">
    <w:name w:val="1. Статья"/>
    <w:basedOn w:val="311"/>
    <w:qFormat/>
    <w:pPr>
      <w:tabs>
        <w:tab w:val="clear" w:pos="709"/>
        <w:tab w:val="left" w:pos="2340" w:leader="none"/>
      </w:tabs>
      <w:spacing w:before="0" w:after="0"/>
      <w:ind w:left="0" w:right="1462" w:hanging="0"/>
      <w:jc w:val="center"/>
    </w:pPr>
    <w:rPr>
      <w:b w:val="false"/>
      <w:sz w:val="24"/>
    </w:rPr>
  </w:style>
  <w:style w:type="paragraph" w:styleId="24">
    <w:name w:val="2. Пункт"/>
    <w:basedOn w:val="311"/>
    <w:qFormat/>
    <w:pPr>
      <w:spacing w:before="0" w:after="0"/>
      <w:jc w:val="both"/>
    </w:pPr>
    <w:rPr>
      <w:b w:val="false"/>
      <w:sz w:val="24"/>
    </w:rPr>
  </w:style>
  <w:style w:type="paragraph" w:styleId="33">
    <w:name w:val="3. Подпункт"/>
    <w:basedOn w:val="311"/>
    <w:qFormat/>
    <w:pPr>
      <w:tabs>
        <w:tab w:val="clear" w:pos="709"/>
        <w:tab w:val="left" w:pos="1620" w:leader="none"/>
      </w:tabs>
      <w:spacing w:before="0" w:after="0"/>
      <w:jc w:val="both"/>
    </w:pPr>
    <w:rPr>
      <w:sz w:val="24"/>
    </w:rPr>
  </w:style>
  <w:style w:type="paragraph" w:styleId="ConsNormal">
    <w:name w:val="ConsNormal"/>
    <w:basedOn w:val="DStyleparagraph"/>
    <w:qFormat/>
    <w:pPr>
      <w:ind w:left="0" w:right="19773" w:firstLine="720"/>
    </w:pPr>
    <w:rPr>
      <w:rFonts w:ascii="Arial" w:hAnsi="Arial" w:cs="Arial"/>
      <w:color w:val="00000A"/>
      <w:sz w:val="32"/>
    </w:rPr>
  </w:style>
  <w:style w:type="paragraph" w:styleId="126">
    <w:name w:val="Текст выноски1"/>
    <w:basedOn w:val="Standard"/>
    <w:qFormat/>
    <w:pPr/>
    <w:rPr>
      <w:rFonts w:ascii="Tahoma" w:hAnsi="Tahoma" w:cs="Tahoma"/>
      <w:sz w:val="16"/>
    </w:rPr>
  </w:style>
  <w:style w:type="paragraph" w:styleId="42">
    <w:name w:val="4. Отчерк"/>
    <w:basedOn w:val="Standard"/>
    <w:qFormat/>
    <w:pPr/>
    <w:rPr>
      <w:sz w:val="24"/>
    </w:rPr>
  </w:style>
  <w:style w:type="paragraph" w:styleId="127">
    <w:name w:val="Текст примечания1"/>
    <w:basedOn w:val="Standard"/>
    <w:qFormat/>
    <w:pPr/>
    <w:rPr>
      <w:sz w:val="20"/>
    </w:rPr>
  </w:style>
  <w:style w:type="paragraph" w:styleId="128">
    <w:name w:val="Тема примечания1"/>
    <w:basedOn w:val="127"/>
    <w:qFormat/>
    <w:pPr/>
    <w:rPr>
      <w:b/>
    </w:rPr>
  </w:style>
  <w:style w:type="paragraph" w:styleId="129">
    <w:name w:val="Нижний колонтитул1"/>
    <w:basedOn w:val="Standard"/>
    <w:qFormat/>
    <w:pPr>
      <w:tabs>
        <w:tab w:val="clear" w:pos="709"/>
        <w:tab w:val="center" w:pos="4675" w:leader="none"/>
        <w:tab w:val="right" w:pos="9353" w:leader="none"/>
      </w:tabs>
    </w:pPr>
    <w:rPr/>
  </w:style>
  <w:style w:type="paragraph" w:styleId="130">
    <w:name w:val="Рецензия1"/>
    <w:basedOn w:val="DStyleparagraph"/>
    <w:qFormat/>
    <w:pPr/>
    <w:rPr>
      <w:color w:val="00000A"/>
      <w:sz w:val="28"/>
    </w:rPr>
  </w:style>
  <w:style w:type="paragraph" w:styleId="Textbodyindent">
    <w:name w:val="Text body indent"/>
    <w:basedOn w:val="Standard"/>
    <w:qFormat/>
    <w:pPr>
      <w:spacing w:before="0" w:after="120"/>
      <w:ind w:left="283" w:right="0" w:firstLine="567"/>
    </w:pPr>
    <w:rPr/>
  </w:style>
  <w:style w:type="paragraph" w:styleId="333">
    <w:name w:val="Пункт 3.3.3"/>
    <w:basedOn w:val="Standard"/>
    <w:qFormat/>
    <w:pPr>
      <w:tabs>
        <w:tab w:val="clear" w:pos="709"/>
        <w:tab w:val="left" w:pos="5142" w:leader="none"/>
      </w:tabs>
      <w:spacing w:before="240" w:after="240"/>
      <w:ind w:left="704" w:right="0" w:hanging="498"/>
    </w:pPr>
    <w:rPr>
      <w:sz w:val="24"/>
    </w:rPr>
  </w:style>
  <w:style w:type="paragraph" w:styleId="Caption1111">
    <w:name w:val="caption1111"/>
    <w:basedOn w:val="Standard"/>
    <w:qFormat/>
    <w:pPr>
      <w:spacing w:before="120" w:after="120"/>
    </w:pPr>
    <w:rPr>
      <w:b/>
      <w:sz w:val="24"/>
    </w:rPr>
  </w:style>
  <w:style w:type="paragraph" w:styleId="131">
    <w:name w:val="Знак1"/>
    <w:basedOn w:val="Standard"/>
    <w:qFormat/>
    <w:pPr>
      <w:spacing w:lineRule="exact" w:line="240" w:before="0" w:after="160"/>
    </w:pPr>
    <w:rPr>
      <w:rFonts w:ascii="Verdana" w:hAnsi="Verdana" w:cs="Verdana"/>
      <w:sz w:val="20"/>
      <w:lang w:val="en-US"/>
    </w:rPr>
  </w:style>
  <w:style w:type="paragraph" w:styleId="-">
    <w:name w:val="Контракт-раздел"/>
    <w:basedOn w:val="Standard"/>
    <w:qFormat/>
    <w:pPr>
      <w:tabs>
        <w:tab w:val="clear" w:pos="709"/>
        <w:tab w:val="left" w:pos="566" w:leader="none"/>
      </w:tabs>
      <w:spacing w:before="360" w:after="120"/>
      <w:ind w:left="0" w:right="0" w:firstLine="567"/>
      <w:jc w:val="center"/>
    </w:pPr>
    <w:rPr>
      <w:b/>
      <w:caps/>
    </w:rPr>
  </w:style>
  <w:style w:type="paragraph" w:styleId="-1">
    <w:name w:val="Контракт-пункт"/>
    <w:basedOn w:val="Standard"/>
    <w:qFormat/>
    <w:pPr/>
    <w:rPr/>
  </w:style>
  <w:style w:type="paragraph" w:styleId="-2">
    <w:name w:val="Контракт-подпункт"/>
    <w:basedOn w:val="Standard"/>
    <w:qFormat/>
    <w:pPr/>
    <w:rPr/>
  </w:style>
  <w:style w:type="paragraph" w:styleId="-3">
    <w:name w:val="Контракт-подподпункт"/>
    <w:basedOn w:val="Standard"/>
    <w:qFormat/>
    <w:pPr/>
    <w:rPr/>
  </w:style>
  <w:style w:type="paragraph" w:styleId="EndnoteSymbol1">
    <w:name w:val="Endnote Symbol1"/>
    <w:basedOn w:val="Standard"/>
    <w:qFormat/>
    <w:pPr/>
    <w:rPr>
      <w:sz w:val="20"/>
    </w:rPr>
  </w:style>
  <w:style w:type="paragraph" w:styleId="ConsPlusNonformat">
    <w:name w:val="ConsPlusNonformat"/>
    <w:basedOn w:val="DStyleparagraph"/>
    <w:qFormat/>
    <w:pPr/>
    <w:rPr>
      <w:rFonts w:ascii="Courier New" w:hAnsi="Courier New" w:cs="Courier New"/>
      <w:color w:val="00000A"/>
      <w:sz w:val="28"/>
    </w:rPr>
  </w:style>
  <w:style w:type="paragraph" w:styleId="TableParagraph">
    <w:name w:val="Table Paragraph"/>
    <w:basedOn w:val="Standard"/>
    <w:qFormat/>
    <w:pPr/>
    <w:rPr/>
  </w:style>
  <w:style w:type="paragraph" w:styleId="Style22">
    <w:name w:val="Содержимое врезки"/>
    <w:basedOn w:val="Standard"/>
    <w:qFormat/>
    <w:pPr/>
    <w:rPr/>
  </w:style>
  <w:style w:type="paragraph" w:styleId="Footnote">
    <w:name w:val="Footnote"/>
    <w:basedOn w:val="Standard"/>
    <w:qFormat/>
    <w:pPr/>
    <w:rPr/>
  </w:style>
  <w:style w:type="paragraph" w:styleId="132">
    <w:name w:val="Без интервала1"/>
    <w:basedOn w:val="DStyleparagraph"/>
    <w:qFormat/>
    <w:pPr/>
    <w:rPr>
      <w:color w:val="00000A"/>
      <w:sz w:val="24"/>
    </w:rPr>
  </w:style>
  <w:style w:type="paragraph" w:styleId="25">
    <w:name w:val="Основной текст (2)"/>
    <w:basedOn w:val="Standard"/>
    <w:qFormat/>
    <w:pPr>
      <w:shd w:val="clear" w:fill="FFFFFF"/>
      <w:spacing w:before="0" w:after="220"/>
      <w:jc w:val="center"/>
    </w:pPr>
    <w:rPr>
      <w:b/>
      <w:i/>
      <w:sz w:val="28"/>
    </w:rPr>
  </w:style>
  <w:style w:type="paragraph" w:styleId="Style23">
    <w:name w:val="Содержимое таблицы"/>
    <w:basedOn w:val="Standard"/>
    <w:qFormat/>
    <w:pPr/>
    <w:rPr/>
  </w:style>
  <w:style w:type="paragraph" w:styleId="ConsPlusNormal">
    <w:name w:val="ConsPlusNormal"/>
    <w:basedOn w:val="DStyleparagraph"/>
    <w:qFormat/>
    <w:pPr>
      <w:ind w:left="0" w:right="0" w:firstLine="720"/>
    </w:pPr>
    <w:rPr>
      <w:rFonts w:ascii="Arial" w:hAnsi="Arial" w:cs="Arial"/>
      <w:color w:val="00000A"/>
      <w:sz w:val="28"/>
    </w:rPr>
  </w:style>
  <w:style w:type="paragraph" w:styleId="Style24">
    <w:name w:val="Заголовок таблицы"/>
    <w:basedOn w:val="Style23"/>
    <w:qFormat/>
    <w:pPr/>
    <w:rPr/>
  </w:style>
  <w:style w:type="paragraph" w:styleId="Style25">
    <w:name w:val="По умолчанию"/>
    <w:basedOn w:val="DStyleparagraph"/>
    <w:qFormat/>
    <w:pPr/>
    <w:rPr>
      <w:rFonts w:ascii="Helvetica Neue" w:hAnsi="Helvetica Neue" w:cs="Helvetica Neue"/>
      <w:sz w:val="21"/>
    </w:rPr>
  </w:style>
  <w:style w:type="paragraph" w:styleId="Annotationtext">
    <w:name w:val="annotation text"/>
    <w:basedOn w:val="Normal"/>
    <w:link w:val="17"/>
    <w:qFormat/>
    <w:pPr/>
    <w:rPr>
      <w:rFonts w:cs="Mangal"/>
      <w:szCs w:val="18"/>
    </w:rPr>
  </w:style>
  <w:style w:type="paragraph" w:styleId="BalloonText">
    <w:name w:val="Balloon Text"/>
    <w:basedOn w:val="Normal"/>
    <w:link w:val="18"/>
    <w:qFormat/>
    <w:pPr/>
    <w:rPr>
      <w:rFonts w:ascii="Segoe UI" w:hAnsi="Segoe UI" w:cs="Mangal"/>
      <w:sz w:val="18"/>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so-ups.ru/future-planning/tech-data/" TargetMode="External"/><Relationship Id="rId3" Type="http://schemas.openxmlformats.org/officeDocument/2006/relationships/hyperlink" Target="kodeks://link/d?nd=902087949" TargetMode="External"/><Relationship Id="rId4" Type="http://schemas.openxmlformats.org/officeDocument/2006/relationships/hyperlink" Target="https://rushydro.ru/sustainable_development/environmental/ekologicheskaya-politika/proekty-snizhayushchie-vozdeystvie-na-okruzhayushchuyu-sredu/realizatsiya-zoloshlakovykh-materialov/"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157</TotalTime>
  <Application>AlterOffice/2025.3.0.0$Linux_X86_64 LibreOffice_project/4ba31b6a4271509a884f95065d0a726e9cb2bdbb</Application>
  <AppVersion>15.0000</AppVersion>
  <Pages>25</Pages>
  <Words>8689</Words>
  <Characters>62824</Characters>
  <CharactersWithSpaces>70995</CharactersWithSpaces>
  <Paragraphs>538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2026-01-26T01:31:00Z</dcterms:created>
  <dc:creator>fomina_ev</dc:creator>
  <dc:description/>
  <dc:language>ru-RU</dc:language>
  <cp:lastModifiedBy>fomina_ev</cp:lastModifiedBy>
  <dcterms:modified xsi:type="dcterms:W3CDTF">2026-05-05T17:23:30Z</dcterms:modified>
  <cp:revision>16</cp:revision>
  <dc:subject/>
  <dc:title>ДОГОВОР № ____</dc:title>
</cp:coreProperties>
</file>

<file path=docProps/custom.xml><?xml version="1.0" encoding="utf-8"?>
<Properties xmlns="http://schemas.openxmlformats.org/officeDocument/2006/custom-properties" xmlns:vt="http://schemas.openxmlformats.org/officeDocument/2006/docPropsVTypes"/>
</file>